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7E" w:rsidRDefault="00CD582F" w:rsidP="005522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007512">
        <w:rPr>
          <w:rFonts w:ascii="Liberation Serif" w:hAnsi="Liberation Serif" w:cs="Liberation Serif"/>
          <w:sz w:val="28"/>
          <w:szCs w:val="28"/>
        </w:rPr>
        <w:t>тчет о выполнени</w:t>
      </w:r>
      <w:r w:rsidR="00BC004F">
        <w:rPr>
          <w:rFonts w:ascii="Liberation Serif" w:hAnsi="Liberation Serif" w:cs="Liberation Serif"/>
          <w:sz w:val="28"/>
          <w:szCs w:val="28"/>
        </w:rPr>
        <w:t>и</w:t>
      </w:r>
      <w:r w:rsidRPr="00007512">
        <w:rPr>
          <w:rFonts w:ascii="Liberation Serif" w:hAnsi="Liberation Serif" w:cs="Liberation Serif"/>
          <w:sz w:val="28"/>
          <w:szCs w:val="28"/>
        </w:rPr>
        <w:t xml:space="preserve"> </w:t>
      </w:r>
      <w:r w:rsidRPr="00D63783">
        <w:rPr>
          <w:rFonts w:ascii="Liberation Serif" w:eastAsia="Times New Roman" w:hAnsi="Liberation Serif" w:cs="Liberation Serif"/>
          <w:sz w:val="28"/>
          <w:szCs w:val="28"/>
        </w:rPr>
        <w:t>Плана мероприятий («дорожной карты»)</w:t>
      </w:r>
    </w:p>
    <w:p w:rsidR="00CD582F" w:rsidRDefault="00CD582F" w:rsidP="005522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63783">
        <w:rPr>
          <w:rFonts w:ascii="Liberation Serif" w:eastAsia="Times New Roman" w:hAnsi="Liberation Serif" w:cs="Liberation Serif"/>
          <w:sz w:val="28"/>
          <w:szCs w:val="28"/>
        </w:rPr>
        <w:t xml:space="preserve">по улучшению инвестиционного климата в Горноуральском городском округе на </w:t>
      </w:r>
      <w:r w:rsidRPr="00D63783">
        <w:rPr>
          <w:rFonts w:ascii="Liberation Serif" w:hAnsi="Liberation Serif" w:cs="Liberation Serif"/>
          <w:sz w:val="28"/>
          <w:szCs w:val="28"/>
        </w:rPr>
        <w:t>2022-202</w:t>
      </w:r>
      <w:r w:rsidR="00BC004F">
        <w:rPr>
          <w:rFonts w:ascii="Liberation Serif" w:hAnsi="Liberation Serif" w:cs="Liberation Serif"/>
          <w:sz w:val="28"/>
          <w:szCs w:val="28"/>
        </w:rPr>
        <w:t>3</w:t>
      </w:r>
      <w:r w:rsidRPr="00D63783">
        <w:rPr>
          <w:rFonts w:ascii="Liberation Serif" w:hAnsi="Liberation Serif" w:cs="Liberation Serif"/>
          <w:sz w:val="28"/>
          <w:szCs w:val="28"/>
        </w:rPr>
        <w:t xml:space="preserve"> годы</w:t>
      </w:r>
    </w:p>
    <w:p w:rsidR="00CD582F" w:rsidRDefault="00CD582F" w:rsidP="00CD582F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январь-декабрь 2022 года</w:t>
      </w:r>
    </w:p>
    <w:p w:rsidR="00072B1E" w:rsidRPr="007B63C1" w:rsidRDefault="00072B1E" w:rsidP="008B7959">
      <w:pPr>
        <w:pStyle w:val="ConsPlusNormal"/>
        <w:outlineLvl w:val="0"/>
        <w:rPr>
          <w:rFonts w:ascii="Liberation Serif" w:hAnsi="Liberation Serif" w:cs="Liberation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770"/>
        <w:gridCol w:w="2672"/>
        <w:gridCol w:w="4134"/>
        <w:gridCol w:w="1877"/>
        <w:gridCol w:w="1633"/>
        <w:gridCol w:w="4742"/>
      </w:tblGrid>
      <w:tr w:rsidR="000F48C7" w:rsidRPr="00A9710B" w:rsidTr="00A9710B">
        <w:trPr>
          <w:trHeight w:val="1150"/>
        </w:trPr>
        <w:tc>
          <w:tcPr>
            <w:tcW w:w="243" w:type="pct"/>
            <w:shd w:val="clear" w:color="auto" w:fill="auto"/>
          </w:tcPr>
          <w:p w:rsidR="000F48C7" w:rsidRPr="00A9710B" w:rsidRDefault="000F48C7" w:rsidP="004068B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406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406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406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406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  <w:p w:rsidR="000F48C7" w:rsidRPr="00A9710B" w:rsidRDefault="000F48C7" w:rsidP="00406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(исполнено/  </w:t>
            </w: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br/>
              <w:t xml:space="preserve">не исполнено/ </w:t>
            </w: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br/>
              <w:t>на исполнении)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406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Информация о выполнении </w:t>
            </w:r>
            <w:r w:rsidRPr="00A9710B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33254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Среднее время получения разрешения на строительство (реконструкцию) (дни)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37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Осуществление регулярного мониторинга предельного срока прохождения процедур, необходимых для получения разрешений на строительство. Принятие мер оперативного реагирования по итогам проведения мониторинга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0F48C7" w:rsidRPr="00A9710B" w:rsidRDefault="000F48C7" w:rsidP="00F51D3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A4B8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предельного срока прохождения процедур, необходимых для получения разрешений на строительство осуществляется ежемесячно. Нарушений не выявлено</w:t>
            </w:r>
            <w:r w:rsidR="003F1C24" w:rsidRPr="00A9710B">
              <w:rPr>
                <w:rFonts w:ascii="Liberation Serif" w:hAnsi="Liberation Serif" w:cs="Liberation Serif"/>
                <w:sz w:val="20"/>
              </w:rPr>
              <w:t>. Среднее время получения разрешения на строительство 5 дней</w:t>
            </w:r>
          </w:p>
        </w:tc>
      </w:tr>
      <w:tr w:rsidR="000F48C7" w:rsidRPr="00A9710B" w:rsidTr="00A9710B">
        <w:trPr>
          <w:trHeight w:val="978"/>
        </w:trPr>
        <w:tc>
          <w:tcPr>
            <w:tcW w:w="243" w:type="pct"/>
            <w:vMerge w:val="restar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287FA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Общее количество процедур,</w:t>
            </w:r>
          </w:p>
          <w:p w:rsidR="000F48C7" w:rsidRPr="00A9710B" w:rsidRDefault="000F48C7" w:rsidP="00287FA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необходимых для получения</w:t>
            </w:r>
          </w:p>
          <w:p w:rsidR="000F48C7" w:rsidRPr="00A9710B" w:rsidRDefault="000F48C7" w:rsidP="00287FA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разрешений на строительство</w:t>
            </w:r>
          </w:p>
          <w:p w:rsidR="000F48C7" w:rsidRPr="00A9710B" w:rsidRDefault="000F48C7" w:rsidP="00287FA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(штук)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73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Обеспечение анкетирования</w:t>
            </w:r>
          </w:p>
          <w:p w:rsidR="000F48C7" w:rsidRPr="00A9710B" w:rsidRDefault="000F48C7" w:rsidP="00736D0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застройщиков и анализа данных о фактически пройденных процедурах, необходимых для получения разрешений на строительство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A4B8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A05B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Опрос застройщиков в 2022 году произведен. Среднее количество процедур, необходимых для получения</w:t>
            </w:r>
            <w:r w:rsidR="008A05BC"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>разрешений на строительство, составило 10 единиц</w:t>
            </w:r>
          </w:p>
        </w:tc>
      </w:tr>
      <w:tr w:rsidR="000F48C7" w:rsidRPr="00A9710B" w:rsidTr="00A9710B">
        <w:tc>
          <w:tcPr>
            <w:tcW w:w="243" w:type="pct"/>
            <w:vMerge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64479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Актуализация информации об этапах получения разрешения на строительство на официальном сайте Горноуральского городского округа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F51D3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30.12.2022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DE2E7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960E6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на официальном сайте Горноуральского городского округа размещен алгоритм действий инвестора для получения разрешения на строительство</w:t>
            </w:r>
          </w:p>
        </w:tc>
      </w:tr>
      <w:tr w:rsidR="000F48C7" w:rsidRPr="00A9710B" w:rsidTr="00A9710B">
        <w:trPr>
          <w:trHeight w:val="875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Удовлетворенность деятельностью органов местного самоуправления по выдаче разрешений на строительство (средний балл) </w:t>
            </w: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6445C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lastRenderedPageBreak/>
              <w:t>Обеспечение надлежащего ведения государственной информационной системы обеспечения градостроительной деятельности в Горноуральском городском округе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55227E" w:rsidP="005522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</w:t>
            </w:r>
            <w:r w:rsidR="000F48C7" w:rsidRPr="00A9710B">
              <w:rPr>
                <w:rFonts w:ascii="Liberation Serif" w:hAnsi="Liberation Serif" w:cs="Liberation Serif"/>
                <w:sz w:val="20"/>
              </w:rPr>
              <w:t>абота по внесению данных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в</w:t>
            </w:r>
            <w:r w:rsidRPr="00A9710B">
              <w:rPr>
                <w:rFonts w:ascii="Liberation Serif" w:hAnsi="Liberation Serif" w:cs="Liberation Serif"/>
                <w:sz w:val="20"/>
              </w:rPr>
              <w:t>едется</w:t>
            </w:r>
          </w:p>
        </w:tc>
      </w:tr>
      <w:tr w:rsidR="000F48C7" w:rsidRPr="00A9710B" w:rsidTr="00A9710B">
        <w:trPr>
          <w:trHeight w:val="1250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обеспечения надлежащего ведения государственной информационной системы обеспечения градостроительной деятельности в Горноуральском городском округе. Принятие мер оперативного реагирования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EB376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осуществляется, замечания отсутствуют</w:t>
            </w:r>
          </w:p>
        </w:tc>
      </w:tr>
      <w:tr w:rsidR="000F48C7" w:rsidRPr="00A9710B" w:rsidTr="00A9710B">
        <w:trPr>
          <w:trHeight w:val="63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6445C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Информирование застройщиков о сокращении срока и упрощении процедур по выдаче разрешений на строительство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EB376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Информирование застройщиков о сокращении срока и упрощении процедур по выдаче разрешений на строительство осуществляется на личных приемах граждан, посредством телефонной связи при обращении граждан</w:t>
            </w:r>
          </w:p>
        </w:tc>
      </w:tr>
      <w:tr w:rsidR="000F48C7" w:rsidRPr="00A9710B" w:rsidTr="00A9710B">
        <w:trPr>
          <w:trHeight w:val="924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Участие в обучающих мероприятиях для сотрудников, принимающих участие </w:t>
            </w:r>
          </w:p>
          <w:p w:rsidR="000F48C7" w:rsidRPr="00A9710B" w:rsidRDefault="000F48C7" w:rsidP="007E7B5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предоставлении муниципальной услуги по выдаче разрешений на строительство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EB376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DE2E7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обучающие мероприятия в форме семинаров для сотрудников органов местного самоуправления не проводились</w:t>
            </w:r>
          </w:p>
        </w:tc>
      </w:tr>
      <w:tr w:rsidR="000F48C7" w:rsidRPr="00A9710B" w:rsidTr="00A9710B">
        <w:trPr>
          <w:trHeight w:val="92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664B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анализа возможности перевода в электронный вид предоставления муниципальных услуг в сфере строительства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017B0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30.12.2022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EB376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DE2E7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Анализ проведен, предоставление в электронном виде муниципальных услуг в сфере строительства возможно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2149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Среднее время получения разрешений на ввод в эксплуатацию жилого объекта или здания нежилого назначения (рабочих дней)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Осуществление регулярного мониторинга предельного срока прохождения процедур, необходимых для получения разрешения на ввод в эксплуатацию объекта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E0154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A4B8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1A4B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предельного срока прохождения процедур, необходимых для получения разрешений на ввод в эксплуатацию объекта осуществляется ежемесячно. Нарушений не выявлено</w:t>
            </w:r>
            <w:r w:rsidR="003F1C24" w:rsidRPr="00A9710B">
              <w:rPr>
                <w:rFonts w:ascii="Liberation Serif" w:hAnsi="Liberation Serif" w:cs="Liberation Serif"/>
                <w:sz w:val="20"/>
              </w:rPr>
              <w:t>. Среднее время 5 рабочих дней</w:t>
            </w:r>
          </w:p>
        </w:tc>
      </w:tr>
      <w:tr w:rsidR="000F48C7" w:rsidRPr="00A9710B" w:rsidTr="00A9710B">
        <w:trPr>
          <w:trHeight w:val="314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Общее количество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процедур,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необходимых для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получения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разрешений на ввод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эксплуатацию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жилого объекта или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здания нежилого</w:t>
            </w:r>
          </w:p>
          <w:p w:rsidR="000F48C7" w:rsidRPr="00A9710B" w:rsidRDefault="000F48C7" w:rsidP="0089188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назначения (штук)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Обеспечение анкетирования</w:t>
            </w:r>
          </w:p>
          <w:p w:rsidR="000F48C7" w:rsidRPr="00A9710B" w:rsidRDefault="000F48C7" w:rsidP="00D7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застройщиков и анализа данных о фактически пройденных процедурах, необходимых для получения разрешения на ввод в эксплуатацию объекта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A4B8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B21FA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Опрос застройщиков в 2022 году произведен. Среднее количество процедур, необходимых для получения разрешения на ввод в эксплуатацию объекта, составило 12 единиц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91885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информации о процедуре получения разрешений на ввод объекта в эксплуатацию на официальном сайте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A4B8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1A4B8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на официальном сайте Горноуральского городского округа размещен алгоритм действий инвестора для получения разрешения на ввод объекта в эксплуатацию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149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Участие в обучающих семинарах для сотрудников, принимающих участие в предоставлении муниципальных услуг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3147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обучающие мероприятия в форме семинаров для сотрудников органов местного самоуправления не проводились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149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анализа возможности перевода в электронный вид предоставления муниципальных услуг в сфере строительства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да 30.12.2022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3147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Анализ проведен, предоставление в электронном виде муниципальных услуг в сфере строительства возможно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Среднее время получения в аренду земельных участков (без проведения торгов) (рабочих дней)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мониторинга соблюдения сроков, указанных в алгоритме действий инвестора для получения земельного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участка в аренду (без торгов), и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реагирование на информацию о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нарушении сроков, предусмотренных алгоритмом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01B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C662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Земельные участки в аренду (без проведения торгов) для реализации инвестиционных проектов не предоставлялись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62154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Общее количество</w:t>
            </w:r>
          </w:p>
          <w:p w:rsidR="000F48C7" w:rsidRPr="00A9710B" w:rsidRDefault="000F48C7" w:rsidP="00507B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процедур для получения в аренду земельных участков (без проведения торгов)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A9710B">
              <w:rPr>
                <w:rStyle w:val="2Exact"/>
                <w:rFonts w:ascii="Liberation Serif" w:hAnsi="Liberation Serif" w:cs="Liberation Serif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(без торгов), и реагирование на информацию о  запросах дополнительных документов, не предусмотренных алгоритмом, и иных нарушениях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01B3F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B707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Земельные участки в аренду (без проведения торгов) для реализации инвестиционных проектов не предоставлялись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C35E5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Оптимизация сроков и процедур по итогам актуализации алгоритма действий инвестора для получения земельного участка в аренду (без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30.06.2023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C01B3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алгоритм действий инвестора для получения земельного участка в аренду (без торгов) не актуализировался</w:t>
            </w:r>
          </w:p>
        </w:tc>
      </w:tr>
      <w:tr w:rsidR="000F48C7" w:rsidRPr="00A9710B" w:rsidTr="00A9710B">
        <w:trPr>
          <w:trHeight w:val="17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Реализация плана-графика по внедрению и ведению в Горноуральском городском округе алгоритма действий инвестора для получения земельного участка в аренду (без торгов) на 2022-2023 годы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5522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мероприятия плана-графика для органов местного самоуправления не реализованы в связи с отсутствием практики предоставления земельных участков в аренду (без проведения торгов) для реализации инвестиционных проектов на территории Горноуральского городского округа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Участие в проекте «Сквозной</w:t>
            </w:r>
          </w:p>
          <w:p w:rsidR="000F48C7" w:rsidRPr="00A9710B" w:rsidRDefault="000F48C7" w:rsidP="009C0C5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путь инвестора» с целью оптимизации бизнес-процессов получения муниципальных услуг по передаче в аренду земельных участков (без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71154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Администрация Горноуральского городского округа приняла участие в опросе по оценке текущего состояния предоставления муниципальной услуги, проведенном Министерством инвестиций и развития Свердловской области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Обеспечение анкетирования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заявителей-респондентов на предмет удовлетворенности качеством и сроками оказания услуг по передаче в аренду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земельных участков (без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5522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Анкетирование не проводилось в связи с отсутствием заявителей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по итогам анкетирования анализа данных о сроках и фактически пройденных процедурах, необходимых для передачи в аренду земельных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участков (без торгов).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Принятие мер оперативного реагирования по итогам проведенного мониторинга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5522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Анкетирование не проводилось в связи с отсутствием заявителей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Размещение информационных материалов о предоставлении услуг по передаче в аренду земельных участков (без проведения торгов) на официальном сайте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на официальном сайте Горноуральского городского округа размещен алгоритм действий инвестора для получения земельного участка в аренду (без торгов)</w:t>
            </w:r>
          </w:p>
        </w:tc>
      </w:tr>
      <w:tr w:rsidR="000F48C7" w:rsidRPr="00A9710B" w:rsidTr="00A9710B">
        <w:trPr>
          <w:trHeight w:val="449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(без проведения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5522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Консультации проводятся при приеме граждан 2 раза в неделю, посредством телефонной связи при обращении</w:t>
            </w:r>
          </w:p>
        </w:tc>
      </w:tr>
      <w:tr w:rsidR="000F48C7" w:rsidRPr="00A9710B" w:rsidTr="00A9710B">
        <w:trPr>
          <w:trHeight w:val="1263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анализа возможности перевода в электронный вид предоставления муниципальных услуг по</w:t>
            </w:r>
          </w:p>
          <w:p w:rsidR="000F48C7" w:rsidRPr="00A9710B" w:rsidRDefault="000F48C7" w:rsidP="005A546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передаче в аренду земельных участков (без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30.12.2022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7F0F9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Анализа проведен, перевод в электронный вид предоставления муниципальных услуг по передаче в аренду земельных участков (без торгов) возможен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Среднее время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получения в аренду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земельных участков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(с проведением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торгов) (рабочих дней)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мониторинга соблюдения сроков, указанных в алгоритме действий инвестора для получения земельного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участка в аренду (с проведением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торгов), и реагирование на информацию о нарушении сроков, предусмотренных алгоритмом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0E2F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Мониторинг проведен. Нарушений не выявлено. Среднее время получения в аренду земельных участков (с проведением торгов) составило 80 рабочих дней (норматив 90 дней) </w:t>
            </w:r>
          </w:p>
          <w:p w:rsidR="000F48C7" w:rsidRPr="00A9710B" w:rsidRDefault="000F48C7" w:rsidP="0085298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6C52B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Среднее количество</w:t>
            </w:r>
          </w:p>
          <w:p w:rsidR="000F48C7" w:rsidRPr="00A9710B" w:rsidRDefault="000F48C7" w:rsidP="006C52B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процедур для получения в аренду земельных участков </w:t>
            </w:r>
          </w:p>
          <w:p w:rsidR="000F48C7" w:rsidRPr="00A9710B" w:rsidRDefault="000F48C7" w:rsidP="006C52BB">
            <w:pPr>
              <w:pStyle w:val="ConsPlusNormal"/>
              <w:rPr>
                <w:rFonts w:ascii="Liberation Serif" w:hAnsi="Liberation Serif" w:cs="Liberation Serif"/>
                <w:strike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(с проведением торгов) (штук)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(с проведением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0E2F7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0E2F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проведен. Среднее количество процедур для получения</w:t>
            </w:r>
            <w:r w:rsidR="00CB7687" w:rsidRPr="00A9710B">
              <w:rPr>
                <w:rFonts w:ascii="Liberation Serif" w:hAnsi="Liberation Serif" w:cs="Liberation Serif"/>
                <w:sz w:val="20"/>
              </w:rPr>
              <w:t xml:space="preserve"> в аренду земельных участков (с </w:t>
            </w:r>
            <w:r w:rsidRPr="00A9710B">
              <w:rPr>
                <w:rFonts w:ascii="Liberation Serif" w:hAnsi="Liberation Serif" w:cs="Liberation Serif"/>
                <w:sz w:val="20"/>
              </w:rPr>
              <w:t>проведением торгов) в 2022 году составило 7 единиц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6C52BB">
            <w:pPr>
              <w:pStyle w:val="ConsPlusNormal"/>
              <w:rPr>
                <w:rFonts w:ascii="Liberation Serif" w:hAnsi="Liberation Serif" w:cs="Liberation Serif"/>
                <w:strike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Оптимизация сроков и процедур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итогам актуализации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30.06.2023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B768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0E2F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2023 году планируется сокращение количества процедур до 6 единиц за счет устранения процедуры независимой оценки стоимости арендной платы за земельный участок</w:t>
            </w:r>
          </w:p>
        </w:tc>
      </w:tr>
      <w:tr w:rsidR="000F48C7" w:rsidRPr="00A9710B" w:rsidTr="00A9710B">
        <w:trPr>
          <w:trHeight w:val="16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Реализация плана-графика по внедрению и ведению в Горноуральском городском округе алгоритма действий инвестора для получения земельного участка в аренду (с проведением торгов) на 2022-2023 годы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B768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9137B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соответствии с планом-графиком проведен мониторинг соблюдения сроков и процедур, указанных в алгоритме действий инвестора для получения земельного участка в аренду (с проведением торгов)</w:t>
            </w:r>
          </w:p>
        </w:tc>
      </w:tr>
      <w:tr w:rsidR="000F48C7" w:rsidRPr="00A9710B" w:rsidTr="00A9710B">
        <w:trPr>
          <w:trHeight w:val="308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Участие в проекте «Сквозной</w:t>
            </w:r>
          </w:p>
          <w:p w:rsidR="000F48C7" w:rsidRPr="00A9710B" w:rsidRDefault="000F48C7" w:rsidP="009C0C5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путь инвестора» с целью оптимизации бизнес-процессов получения муниципальных услуг по передаче в аренду земельных участков (с проведением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B768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DD5E76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Администрация Горноуральского городского округа приняла участие в опросе по оценке текущего состояния предоставления муниципальной услуги, проведенном Министерством инвестиций и развития Свердловской области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Обеспечение анкетирования заявителей-респондентов на предмет удовлетворенности качеством и сроками оказания услуг по передаче в аренду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земельных участков (с проведением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B768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Разрабатывается анкета для арендаторов земельных участков. Анкетирования заявителей-респондентов на предмет удовлетворенности качеством и сроками оказания услуг по передаче в аренду земельных участков (с проведением торгов) будет проводиться в текущем режиме при предоставлении услуги</w:t>
            </w:r>
          </w:p>
        </w:tc>
      </w:tr>
      <w:tr w:rsidR="000F48C7" w:rsidRPr="00A9710B" w:rsidTr="00A9710B">
        <w:trPr>
          <w:trHeight w:val="450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по итогам</w:t>
            </w:r>
          </w:p>
          <w:p w:rsidR="000F48C7" w:rsidRPr="00A9710B" w:rsidRDefault="000F48C7" w:rsidP="00513E8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анкетирования анализа данных о сроках и фактически пройденных процедурах, необходимых для передачи в аренду земельных участков (с проведением торгов). Принятие мер оперативного реагирования по итогам проведенного мониторинга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B768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Анализ данных о сроках и фактически пройденных процедурах, необходимых для передачи в аренду земельных участков (с проведением торгов) будет проведен по результатам анкетирования</w:t>
            </w:r>
          </w:p>
        </w:tc>
      </w:tr>
      <w:tr w:rsidR="000F48C7" w:rsidRPr="00A9710B" w:rsidTr="00A9710B">
        <w:trPr>
          <w:trHeight w:val="8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Размещение информационных материалов о предоставлении услуг по передаче в аренду земельных участков </w:t>
            </w:r>
            <w:r w:rsidRPr="00A9710B">
              <w:rPr>
                <w:rStyle w:val="2Exact"/>
                <w:rFonts w:ascii="Liberation Serif" w:hAnsi="Liberation Serif" w:cs="Liberation Serif"/>
              </w:rPr>
              <w:t>(с проведением торгов)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на официальном сайте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945B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Информационные материалы о предоставлении услуг по передаче в аренду земельных участков (с проведением торгов) размещены на официальном сайте Горноуральского городского округа</w:t>
            </w:r>
          </w:p>
        </w:tc>
      </w:tr>
      <w:tr w:rsidR="000F48C7" w:rsidRPr="00A9710B" w:rsidTr="00A9710B">
        <w:trPr>
          <w:trHeight w:val="449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Направление запросов в уполномоченные органы в порядке межведомственного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информационного взаимодействия при оказании государственных и муниципальных услуг по передаче в аренду земельных участков (с проведением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40F2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5522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Запросы направляются в </w:t>
            </w:r>
            <w:r w:rsidR="0055227E">
              <w:rPr>
                <w:rFonts w:ascii="Liberation Serif" w:hAnsi="Liberation Serif" w:cs="Liberation Serif"/>
                <w:sz w:val="20"/>
              </w:rPr>
              <w:t>порядке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межведомственного </w:t>
            </w:r>
            <w:r w:rsidR="0055227E">
              <w:rPr>
                <w:rFonts w:ascii="Liberation Serif" w:hAnsi="Liberation Serif" w:cs="Liberation Serif"/>
                <w:sz w:val="20"/>
              </w:rPr>
              <w:t xml:space="preserve">информационного </w:t>
            </w:r>
            <w:r w:rsidRPr="00A9710B">
              <w:rPr>
                <w:rFonts w:ascii="Liberation Serif" w:hAnsi="Liberation Serif" w:cs="Liberation Serif"/>
                <w:sz w:val="20"/>
              </w:rPr>
              <w:t>взаимодействия</w:t>
            </w:r>
          </w:p>
        </w:tc>
      </w:tr>
      <w:tr w:rsidR="000F48C7" w:rsidRPr="00A9710B" w:rsidTr="00A9710B">
        <w:trPr>
          <w:trHeight w:val="163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507B2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(с проведением торгов)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55227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Консультации проводятся при приеме граждан 2 раза в неделю, посредством телефонной связи при обращении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7C708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Эффективность института оценки регулирующего воздействия и экспертизы (баллы рейтинга качества осуществления оценки регулирующего воздействия и экспертизы)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Обеспечение проведения оценки регулирующего воздействия не менее 3 проектов муниципальных нормативных правовых актов, подлежащих оценке</w:t>
            </w:r>
          </w:p>
          <w:p w:rsidR="000F48C7" w:rsidRPr="00A9710B" w:rsidRDefault="000F48C7" w:rsidP="002C231A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регулирующего воздействия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7F7A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течение 2022 года проведена оценка регулирующего воздействия 4 проектов муниципальных нормативных правовых актов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Обеспечение проведения</w:t>
            </w:r>
          </w:p>
          <w:p w:rsidR="000F48C7" w:rsidRPr="00A9710B" w:rsidRDefault="000F48C7" w:rsidP="002C231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экспертизы или оценки</w:t>
            </w:r>
          </w:p>
          <w:p w:rsidR="000F48C7" w:rsidRPr="00A9710B" w:rsidRDefault="000F48C7" w:rsidP="002C231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фактического воздействия не</w:t>
            </w:r>
          </w:p>
          <w:p w:rsidR="000F48C7" w:rsidRPr="00A9710B" w:rsidRDefault="000F48C7" w:rsidP="002C231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менее 3 муниципальных нормативных правовых актов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C83FD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 течение 2022 года проведена экспертиза 3 муниципальных нормативных правовых актов </w:t>
            </w:r>
          </w:p>
        </w:tc>
      </w:tr>
      <w:tr w:rsidR="000F48C7" w:rsidRPr="00A9710B" w:rsidTr="007E7FB2">
        <w:trPr>
          <w:trHeight w:val="150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Формирование Реестра проведения оценки регулирующего воздействия проектов нормативных правовых актов администрации Горноуральского городского округа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E0154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803C3C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Реестр проведения оценки регулирующего воздействия проектов нормативных правовых актов администрации Горноуральского городского округа по итогам 2022 года сформирован и размещен на официальном сайте округа. Актуализация реестра осуществлялась ежеквартально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7C708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Всего заключено инвестиционных соглашений </w:t>
            </w:r>
          </w:p>
          <w:p w:rsidR="000F48C7" w:rsidRPr="00A9710B" w:rsidRDefault="000F48C7" w:rsidP="007C708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(в т.ч. соглашений муниципально-частного партнерства, концессионных соглашений) 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F932E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Формирование, утверждение и размещение на официальном сайте округа перечня объектов, в отношении которых планируется заключение концессионных соглашений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1 февраля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44001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44001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Перечень объектов, в отношении которых планируется заключение концессионных соглашений в 2022 году был сформирован, утвержден постановлением администрации Горноуральского городского округа от 28.01.2022 № 90 «Об утверждении перечня объектов, в отношении которых планируется заключение концессионного соглашения», размещен в сети «Интернет» в соответствии с пунктом 3 статьи 4 Федерального закона от 21.07.2005 № 115-ФЗ «О концессионных соглашениях»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Взаимодействие с субъектами предпринимательской деятельности по вопросу заключения соглашений о стратегическом сотрудничестве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44001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FA37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Взаимодействие с субъектами предпринимательской деятельности по вопросу заключения соглашений о стратегическом сотрудничестве осуществлялось </w:t>
            </w:r>
            <w:r w:rsidR="0055227E">
              <w:rPr>
                <w:rFonts w:ascii="Liberation Serif" w:hAnsi="Liberation Serif" w:cs="Liberation Serif"/>
                <w:sz w:val="20"/>
              </w:rPr>
              <w:t xml:space="preserve">в </w:t>
            </w:r>
            <w:r w:rsidR="0055227E" w:rsidRPr="00A9710B">
              <w:rPr>
                <w:rFonts w:ascii="Liberation Serif" w:hAnsi="Liberation Serif" w:cs="Liberation Serif"/>
                <w:sz w:val="20"/>
              </w:rPr>
              <w:t xml:space="preserve">Горноуральском городском округе </w:t>
            </w:r>
            <w:r w:rsidR="0055227E">
              <w:rPr>
                <w:rFonts w:ascii="Liberation Serif" w:hAnsi="Liberation Serif" w:cs="Liberation Serif"/>
                <w:sz w:val="20"/>
              </w:rPr>
              <w:t xml:space="preserve">в ходе рабочих встреч </w:t>
            </w:r>
            <w:r w:rsidR="0055227E" w:rsidRPr="00A9710B">
              <w:rPr>
                <w:rFonts w:ascii="Liberation Serif" w:hAnsi="Liberation Serif" w:cs="Liberation Serif"/>
                <w:sz w:val="20"/>
              </w:rPr>
              <w:t>инвестиционн</w:t>
            </w:r>
            <w:r w:rsidR="0055227E">
              <w:rPr>
                <w:rFonts w:ascii="Liberation Serif" w:hAnsi="Liberation Serif" w:cs="Liberation Serif"/>
                <w:sz w:val="20"/>
              </w:rPr>
              <w:t>ого</w:t>
            </w:r>
            <w:r w:rsidR="0055227E" w:rsidRPr="00A9710B">
              <w:rPr>
                <w:rFonts w:ascii="Liberation Serif" w:hAnsi="Liberation Serif" w:cs="Liberation Serif"/>
                <w:sz w:val="20"/>
              </w:rPr>
              <w:t xml:space="preserve"> уполномоченн</w:t>
            </w:r>
            <w:r w:rsidR="0055227E">
              <w:rPr>
                <w:rFonts w:ascii="Liberation Serif" w:hAnsi="Liberation Serif" w:cs="Liberation Serif"/>
                <w:sz w:val="20"/>
              </w:rPr>
              <w:t>ого</w:t>
            </w:r>
            <w:r w:rsidR="00FA37DD">
              <w:rPr>
                <w:rFonts w:ascii="Liberation Serif" w:hAnsi="Liberation Serif" w:cs="Liberation Serif"/>
                <w:sz w:val="20"/>
              </w:rPr>
              <w:t xml:space="preserve"> с субъектами </w:t>
            </w:r>
            <w:r w:rsidR="00FA37DD" w:rsidRPr="00A9710B">
              <w:rPr>
                <w:rFonts w:ascii="Liberation Serif" w:hAnsi="Liberation Serif" w:cs="Liberation Serif"/>
                <w:sz w:val="20"/>
              </w:rPr>
              <w:t>малого и среднего предпринимательства</w:t>
            </w:r>
            <w:r w:rsidR="00FA37DD">
              <w:rPr>
                <w:rFonts w:ascii="Liberation Serif" w:hAnsi="Liberation Serif" w:cs="Liberation Serif"/>
                <w:sz w:val="20"/>
              </w:rPr>
              <w:t xml:space="preserve">, а также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отделом экономики и стратегического развития администрации </w:t>
            </w:r>
            <w:r w:rsidR="00FA37DD">
              <w:rPr>
                <w:rFonts w:ascii="Liberation Serif" w:hAnsi="Liberation Serif" w:cs="Liberation Serif"/>
                <w:sz w:val="20"/>
              </w:rPr>
              <w:t>по результатам мониторинга реализуемых инвестиционных проектов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</w:tr>
      <w:tr w:rsidR="000F48C7" w:rsidRPr="00A9710B" w:rsidTr="00A9710B">
        <w:trPr>
          <w:trHeight w:val="71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Формирование реестра заключенных инвестиционных соглашений по развитию Горноуральского городского округа 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6965D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ежегодно</w:t>
            </w:r>
          </w:p>
          <w:p w:rsidR="000F48C7" w:rsidRPr="00A9710B" w:rsidRDefault="000F48C7" w:rsidP="006965D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44001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C57E4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Реестр сформирован</w:t>
            </w:r>
            <w:r w:rsidR="00803C3C" w:rsidRPr="00A9710B">
              <w:rPr>
                <w:rFonts w:ascii="Liberation Serif" w:hAnsi="Liberation Serif" w:cs="Liberation Serif"/>
                <w:sz w:val="20"/>
              </w:rPr>
              <w:t xml:space="preserve">, в 2022 году заключено </w:t>
            </w:r>
            <w:r w:rsidR="00C57E47">
              <w:rPr>
                <w:rFonts w:ascii="Liberation Serif" w:hAnsi="Liberation Serif" w:cs="Liberation Serif"/>
                <w:sz w:val="20"/>
              </w:rPr>
              <w:t>3</w:t>
            </w:r>
            <w:r w:rsidR="00803C3C" w:rsidRPr="00A9710B">
              <w:rPr>
                <w:rFonts w:ascii="Liberation Serif" w:hAnsi="Liberation Serif" w:cs="Liberation Serif"/>
                <w:sz w:val="20"/>
              </w:rPr>
              <w:t xml:space="preserve"> инвестиционн</w:t>
            </w:r>
            <w:r w:rsidR="00C57E47">
              <w:rPr>
                <w:rFonts w:ascii="Liberation Serif" w:hAnsi="Liberation Serif" w:cs="Liberation Serif"/>
                <w:sz w:val="20"/>
              </w:rPr>
              <w:t>ых</w:t>
            </w:r>
            <w:r w:rsidR="00803C3C" w:rsidRPr="00A9710B">
              <w:rPr>
                <w:rFonts w:ascii="Liberation Serif" w:hAnsi="Liberation Serif" w:cs="Liberation Serif"/>
                <w:sz w:val="20"/>
              </w:rPr>
              <w:t xml:space="preserve"> соглашени</w:t>
            </w:r>
            <w:r w:rsidR="00C57E47">
              <w:rPr>
                <w:rFonts w:ascii="Liberation Serif" w:hAnsi="Liberation Serif" w:cs="Liberation Serif"/>
                <w:sz w:val="20"/>
              </w:rPr>
              <w:t>я</w:t>
            </w:r>
          </w:p>
        </w:tc>
      </w:tr>
      <w:tr w:rsidR="000F48C7" w:rsidRPr="00A9710B" w:rsidTr="00A9710B">
        <w:trPr>
          <w:trHeight w:val="449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1E4B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рамках проведения</w:t>
            </w:r>
          </w:p>
          <w:p w:rsidR="000F48C7" w:rsidRPr="00A9710B" w:rsidRDefault="000F48C7" w:rsidP="001E4B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коммуникационных мероприятий</w:t>
            </w:r>
          </w:p>
          <w:p w:rsidR="000F48C7" w:rsidRPr="00A9710B" w:rsidRDefault="000F48C7" w:rsidP="001E4B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 бизнесом обеспечить сбор предложений от инвесторов по улучшению работы органов местного самоуправления для</w:t>
            </w:r>
          </w:p>
          <w:p w:rsidR="000F48C7" w:rsidRPr="00A9710B" w:rsidRDefault="000F48C7" w:rsidP="001E4B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разработки мероприятий по</w:t>
            </w:r>
          </w:p>
          <w:p w:rsidR="000F48C7" w:rsidRPr="00A9710B" w:rsidRDefault="000F48C7" w:rsidP="001E4B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улучшению инвестиционного</w:t>
            </w:r>
          </w:p>
          <w:p w:rsidR="000F48C7" w:rsidRPr="00A9710B" w:rsidRDefault="000F48C7" w:rsidP="001E4B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климата в Горноуральском городском округе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1E4BA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6F080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1306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проведен круглый стол с представителями бизнеса, на котором рассматривался вопрос улучшения инвестиционного климата Горноуральского городского округа (Протокол от 20.05.2022 № 1). Также вопросы улучшения инвестиционного климата в округе рассматривались на заседаниях Совета по развитию малого и среднего предпринимательства в Горноуральском городском округе. Все предложения, поступившие от представителей бизнеса, рассмотрены инвестиционным уполномоченным</w:t>
            </w:r>
          </w:p>
        </w:tc>
      </w:tr>
      <w:tr w:rsidR="000F48C7" w:rsidRPr="00A9710B" w:rsidTr="00A9710B">
        <w:trPr>
          <w:trHeight w:val="875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914D7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Наличие принятых нормативных и правовых документов (распоряжений, указов, регламентов, порядков, перечней объектов передаваемых в концессию и др.), обеспечивающих реализацию механизмов муниципально-частного партнерства на территории муниципального образования (да/нет)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нормативных и правовых документов, обеспечивающих реализацию механизмов муниципально-частного партнерства на территории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6F080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6F080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Постановлением администрации Горноуральского городского округа от 28.01.2022 № 90 актуализирован перечень объектов, в отношении которых планируется заключение концессионного соглашения</w:t>
            </w:r>
          </w:p>
        </w:tc>
      </w:tr>
      <w:tr w:rsidR="000F48C7" w:rsidRPr="00A9710B" w:rsidTr="00A9710B">
        <w:trPr>
          <w:trHeight w:val="20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сведений по</w:t>
            </w:r>
          </w:p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проектам муниципально-частного партнерства на территории округа в государственной автоматизированной системе «Управление»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510C7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1E4BA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соглашения муниципально-частного партнерства в Горноуральском городском округе не заключались</w:t>
            </w:r>
          </w:p>
        </w:tc>
      </w:tr>
      <w:tr w:rsidR="000F48C7" w:rsidRPr="00A9710B" w:rsidTr="00A9710B">
        <w:trPr>
          <w:trHeight w:val="449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2C23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EF17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Размещение информации о</w:t>
            </w:r>
          </w:p>
          <w:p w:rsidR="000F48C7" w:rsidRPr="00A9710B" w:rsidRDefault="000F48C7" w:rsidP="00EF17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проектах муниципально-частного партнерства на информационном ресурсе «Платформа поддержки </w:t>
            </w:r>
          </w:p>
          <w:p w:rsidR="000F48C7" w:rsidRPr="00A9710B" w:rsidRDefault="000F48C7" w:rsidP="00EF17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инфраструктурных проектов «РОСИНФРА» в сети «Интернет»</w:t>
            </w:r>
            <w:r w:rsidR="00510C74"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>на сайте https://rosinfra.ru с целью</w:t>
            </w:r>
            <w:r w:rsidR="00510C74"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>привлечения потенциальных</w:t>
            </w:r>
          </w:p>
          <w:p w:rsidR="000F48C7" w:rsidRPr="00A9710B" w:rsidRDefault="000F48C7" w:rsidP="00EF17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инвесторов для реализации</w:t>
            </w:r>
          </w:p>
          <w:p w:rsidR="000F48C7" w:rsidRPr="00A9710B" w:rsidRDefault="000F48C7" w:rsidP="00EF17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проектов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2C231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6F080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DE65A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Информация о проектах муниципально-частного партнерства на информационном ресурсе «Платформа поддержки инфраструктурных проектов «РОСИНФРА» не размещена </w:t>
            </w:r>
          </w:p>
        </w:tc>
      </w:tr>
      <w:tr w:rsidR="000F48C7" w:rsidRPr="00A9710B" w:rsidTr="00A9710B">
        <w:trPr>
          <w:trHeight w:val="808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822BC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Личное участие главы Горноуральского городского округа в решение вопросов улучшение инвестиционного климата (средний балл)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Личное участие главы Горноуральского городского округа в заседаниях Совета по развитию малого и среднего предпринимательства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B902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AE1A09" w:rsidRPr="005C2DE4" w:rsidRDefault="00AE1A09" w:rsidP="00B902F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5C2DE4">
              <w:rPr>
                <w:rFonts w:ascii="Liberation Serif" w:hAnsi="Liberation Serif" w:cs="Liberation Serif"/>
                <w:sz w:val="20"/>
              </w:rPr>
              <w:t>Г</w:t>
            </w:r>
            <w:r w:rsidR="000F48C7" w:rsidRPr="005C2DE4">
              <w:rPr>
                <w:rFonts w:ascii="Liberation Serif" w:hAnsi="Liberation Serif" w:cs="Liberation Serif"/>
                <w:sz w:val="20"/>
              </w:rPr>
              <w:t xml:space="preserve">лава Горноуральского городского округа </w:t>
            </w:r>
          </w:p>
          <w:p w:rsidR="000F48C7" w:rsidRPr="00A9710B" w:rsidRDefault="00AE1A09" w:rsidP="00AE1A0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5C2DE4">
              <w:rPr>
                <w:rFonts w:ascii="Liberation Serif" w:hAnsi="Liberation Serif" w:cs="Liberation Serif"/>
                <w:sz w:val="20"/>
              </w:rPr>
              <w:t xml:space="preserve">является председателем Совета по развитию малого и среднего предпринимательства в Горноуральском городском округе и </w:t>
            </w:r>
            <w:r w:rsidR="000F48C7" w:rsidRPr="005C2DE4">
              <w:rPr>
                <w:rFonts w:ascii="Liberation Serif" w:hAnsi="Liberation Serif" w:cs="Liberation Serif"/>
                <w:sz w:val="20"/>
              </w:rPr>
              <w:t>прин</w:t>
            </w:r>
            <w:r w:rsidRPr="005C2DE4">
              <w:rPr>
                <w:rFonts w:ascii="Liberation Serif" w:hAnsi="Liberation Serif" w:cs="Liberation Serif"/>
                <w:sz w:val="20"/>
              </w:rPr>
              <w:t>имает</w:t>
            </w:r>
            <w:r w:rsidR="000F48C7" w:rsidRPr="005C2DE4">
              <w:rPr>
                <w:rFonts w:ascii="Liberation Serif" w:hAnsi="Liberation Serif" w:cs="Liberation Serif"/>
                <w:sz w:val="20"/>
              </w:rPr>
              <w:t xml:space="preserve"> личное участие в заседани</w:t>
            </w:r>
            <w:r w:rsidRPr="005C2DE4">
              <w:rPr>
                <w:rFonts w:ascii="Liberation Serif" w:hAnsi="Liberation Serif" w:cs="Liberation Serif"/>
                <w:sz w:val="20"/>
              </w:rPr>
              <w:t>ях</w:t>
            </w:r>
            <w:r w:rsidR="000F48C7" w:rsidRPr="005C2DE4">
              <w:rPr>
                <w:rFonts w:ascii="Liberation Serif" w:hAnsi="Liberation Serif" w:cs="Liberation Serif"/>
                <w:sz w:val="20"/>
              </w:rPr>
              <w:t xml:space="preserve"> Совета</w:t>
            </w:r>
            <w:r w:rsidRPr="005C2DE4">
              <w:rPr>
                <w:rFonts w:ascii="Liberation Serif" w:hAnsi="Liberation Serif" w:cs="Liberation Serif"/>
                <w:sz w:val="20"/>
              </w:rPr>
              <w:t>.</w:t>
            </w:r>
            <w:r w:rsidR="000F48C7" w:rsidRPr="005C2DE4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5C2DE4">
              <w:rPr>
                <w:rFonts w:ascii="Liberation Serif" w:hAnsi="Liberation Serif" w:cs="Liberation Serif"/>
                <w:sz w:val="20"/>
              </w:rPr>
              <w:t xml:space="preserve">В 2022 году состоялось 4 заседания Совета, в том числе одно заседание при непосредственном участии главы Горноуральского городского округа </w:t>
            </w:r>
            <w:r w:rsidR="000F48C7" w:rsidRPr="005C2DE4">
              <w:rPr>
                <w:rFonts w:ascii="Liberation Serif" w:hAnsi="Liberation Serif" w:cs="Liberation Serif"/>
                <w:sz w:val="20"/>
              </w:rPr>
              <w:t>(Протокол от 29.12.2022 № 4)</w:t>
            </w:r>
          </w:p>
        </w:tc>
      </w:tr>
      <w:tr w:rsidR="000F48C7" w:rsidRPr="00A9710B" w:rsidTr="00A9710B">
        <w:trPr>
          <w:trHeight w:val="807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C67D8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Ведение реестра личных приемов у главы Горноуральского городского округа субъектов малого и среднего предпринимательства, осуществляющих деятельность на территории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B902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AE1A0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Реестр личных приемов у главы Горноуральского городского округа субъектов малого и среднего предпринимательства округа ведется. В 2022 году на</w:t>
            </w:r>
            <w:r w:rsidR="00CB7687" w:rsidRPr="00A9710B">
              <w:rPr>
                <w:rFonts w:ascii="Liberation Serif" w:hAnsi="Liberation Serif" w:cs="Liberation Serif"/>
                <w:sz w:val="20"/>
              </w:rPr>
              <w:t xml:space="preserve"> личном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приеме у главы было</w:t>
            </w:r>
            <w:r w:rsidR="00CB7687" w:rsidRPr="00A9710B">
              <w:rPr>
                <w:rFonts w:ascii="Liberation Serif" w:hAnsi="Liberation Serif" w:cs="Liberation Serif"/>
                <w:sz w:val="20"/>
              </w:rPr>
              <w:t xml:space="preserve"> 5 представителей субъектов малого и среднего предпринимательства</w:t>
            </w:r>
          </w:p>
        </w:tc>
      </w:tr>
      <w:tr w:rsidR="000F48C7" w:rsidRPr="00A9710B" w:rsidTr="00A9710B">
        <w:trPr>
          <w:trHeight w:val="314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C67D8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Опрос субъектов малого и среднего предпринимательства, осуществляющих деятельность на территории округа, на предмет осведомленности о деятельности главы Горноуральского городского округа в сфере поддержки малого и среднего предпринимательства и улучшения инвестиционного климата Горноуральского городского округа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B902F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Опрос субъектов малого и среднего предпринимательства, осуществляющих деятельность на территории округа, по итогам 2022 года будет выполнен в соответствии с установленным сроком</w:t>
            </w:r>
          </w:p>
        </w:tc>
      </w:tr>
      <w:tr w:rsidR="000F48C7" w:rsidRPr="00A9710B" w:rsidTr="00A9710B">
        <w:trPr>
          <w:trHeight w:val="314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BB508C">
            <w:pPr>
              <w:pStyle w:val="ConsPlusNormal"/>
              <w:rPr>
                <w:rStyle w:val="2Exact"/>
                <w:rFonts w:ascii="Liberation Serif" w:hAnsi="Liberation Serif" w:cs="Liberation Serif"/>
              </w:rPr>
            </w:pPr>
            <w:r w:rsidRPr="00A9710B">
              <w:rPr>
                <w:rStyle w:val="2Exact"/>
                <w:rFonts w:ascii="Liberation Serif" w:hAnsi="Liberation Serif" w:cs="Liberation Serif"/>
              </w:rPr>
              <w:t>Наличие на официальном сайте Горноуральского городского округа актуальной информации о порядке организации и осуществления муниципального контроля (да/нет)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BB508C">
            <w:pPr>
              <w:pStyle w:val="ConsPlusNormal"/>
              <w:rPr>
                <w:rStyle w:val="2Exact"/>
                <w:rFonts w:ascii="Liberation Serif" w:hAnsi="Liberation Serif" w:cs="Liberation Serif"/>
              </w:rPr>
            </w:pPr>
            <w:r w:rsidRPr="00A9710B">
              <w:rPr>
                <w:rStyle w:val="2Exact"/>
                <w:rFonts w:ascii="Liberation Serif" w:hAnsi="Liberation Serif" w:cs="Liberation Serif"/>
              </w:rPr>
              <w:t>Актуализация раздела «Муниципальный контроль» на официальном сайте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A9710B" w:rsidP="00A9710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A9710B" w:rsidP="00A9710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Style w:val="2Exact"/>
                <w:rFonts w:ascii="Liberation Serif" w:hAnsi="Liberation Serif" w:cs="Liberation Serif"/>
              </w:rPr>
              <w:t>Раздел «Муниципальный контроль» на официальном сайте округа актуализирован</w:t>
            </w:r>
          </w:p>
        </w:tc>
      </w:tr>
      <w:tr w:rsidR="000F48C7" w:rsidRPr="00A9710B" w:rsidTr="00A9710B">
        <w:trPr>
          <w:trHeight w:val="314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694E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336AF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Style w:val="2Exact"/>
                <w:rFonts w:ascii="Liberation Serif" w:hAnsi="Liberation Serif" w:cs="Liberation Serif"/>
              </w:rPr>
              <w:t>Размещение на официальном</w:t>
            </w:r>
            <w:r w:rsidRPr="00A9710B">
              <w:rPr>
                <w:rStyle w:val="2Exact"/>
                <w:rFonts w:ascii="Liberation Serif" w:hAnsi="Liberation Serif" w:cs="Liberation Serif"/>
              </w:rPr>
              <w:br/>
              <w:t xml:space="preserve">сайте Горноуральского городского округа в сети «Интернет» ссылок на </w:t>
            </w:r>
            <w:r w:rsidRPr="00A9710B">
              <w:rPr>
                <w:rFonts w:ascii="Liberation Serif" w:hAnsi="Liberation Serif" w:cs="Liberation Serif"/>
                <w:sz w:val="20"/>
                <w:lang w:bidi="ru-RU"/>
              </w:rPr>
              <w:t>«Единый портал государственных и муниципальных услуг (функций)»</w:t>
            </w:r>
            <w:r w:rsidRPr="00A9710B">
              <w:rPr>
                <w:rStyle w:val="2Exact"/>
                <w:rFonts w:ascii="Liberation Serif" w:hAnsi="Liberation Serif" w:cs="Liberation Serif"/>
              </w:rPr>
              <w:t xml:space="preserve"> для возможности подачи жалобы на решение контрольно-надзорного органа, действия (бездействие) его должностных лиц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A9710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Отсутствует техническая возможность</w:t>
            </w:r>
          </w:p>
        </w:tc>
      </w:tr>
      <w:tr w:rsidR="000F48C7" w:rsidRPr="00A9710B" w:rsidTr="00A9710B">
        <w:trPr>
          <w:trHeight w:val="314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694E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22BC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Внесение сведений об осуществлении муниципального контроля в новые разделы портала о контрольно-надзорной деятельности в Свердловской области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29.09.2023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336A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6F136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Информация будет внесена в установленные сроки 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33254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Выявление свободных земельных участков и образование их по схеме расположения земельного участка на кадастровом плане территории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6E009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vMerge w:val="restart"/>
            <w:shd w:val="clear" w:color="auto" w:fill="auto"/>
          </w:tcPr>
          <w:p w:rsidR="000F48C7" w:rsidRPr="00A9710B" w:rsidRDefault="000F48C7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было сформировано и выставлено на аукцион 70 земельных участков, что на 11% больше, чем в 2021 году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Выставление вновь образованных земельных участков на торги на право заключения договоров аренды земельных участков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6E009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33254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Проведение анализа с целью выявления наиболее востребованных территорий и увеличение количества сформированных земельных участков на них для выставления на аукцион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E81BA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Анализ проведен, в 2022 году заключено 33 договора купли-продажи (аренды) земельных участков по результатам аукционов или 0,8 к прошлому году (2021 год – 41 договор)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6B369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Информирование потенциальных инвесторов о земельных участках, запланированных для сдачи в аренду (продаже), путем размещения информации на официальном сайте Горноуральского городского округа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E81BA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FD7D8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официальном сайте Горноуральского городского округа перечень земельных участков для предоставления в аренду или в собственность</w:t>
            </w:r>
            <w:r w:rsidR="00FD7D8C">
              <w:rPr>
                <w:rFonts w:ascii="Liberation Serif" w:hAnsi="Liberation Serif" w:cs="Liberation Serif"/>
                <w:sz w:val="20"/>
              </w:rPr>
              <w:t xml:space="preserve"> размещен, актуализируется</w:t>
            </w:r>
          </w:p>
        </w:tc>
      </w:tr>
      <w:tr w:rsidR="000F48C7" w:rsidRPr="00A9710B" w:rsidTr="00A9710B">
        <w:trPr>
          <w:trHeight w:val="881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консультаций для граждан, субъектов предпринимательства о способах предоставления земельных участков с торгов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E81BA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Консультации проводятся при личном приеме граждан 2 раза в неделю, посредством телефонной связи при обращении, а также готовятся ответы на письменные запросы</w:t>
            </w:r>
          </w:p>
        </w:tc>
      </w:tr>
      <w:tr w:rsidR="000F48C7" w:rsidRPr="00A9710B" w:rsidTr="00A9710B">
        <w:trPr>
          <w:trHeight w:val="704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19077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Превышение стоимости заключенного 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0E2F3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Формирование земельных участков для выставления на торги с развитой инфраструктурой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C0DD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vMerge w:val="restart"/>
            <w:shd w:val="clear" w:color="auto" w:fill="auto"/>
          </w:tcPr>
          <w:p w:rsidR="000F48C7" w:rsidRPr="00A9710B" w:rsidRDefault="000F48C7" w:rsidP="000A7E7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были выставлены на аукцион земельные участки начальной стоимостью – 1,67 млн. рублей. По итогам аукционов заключены договора на сумму 1,7 млн. рублей. Превышение стоимости составило 0,03 млн. рублей или 2%</w:t>
            </w:r>
          </w:p>
        </w:tc>
      </w:tr>
      <w:tr w:rsidR="000F48C7" w:rsidRPr="00A9710B" w:rsidTr="00A9710B">
        <w:trPr>
          <w:trHeight w:val="500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035AF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торгов на право заключения договоров аренды земельных участков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3A3B6B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C0DD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0F48C7" w:rsidRPr="00A9710B" w:rsidTr="00A9710B">
        <w:trPr>
          <w:trHeight w:val="308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33254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Горноуральском городском округе (средний балл)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перечня земельных участков, возможных для предоставления в аренду и (или) собственность на официальном сайте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C0DD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962BA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Перечень свободных земельных участков на территории Горноуральского городского округа актуализирован по состоянию на 01.04.2022</w:t>
            </w:r>
          </w:p>
        </w:tc>
      </w:tr>
      <w:tr w:rsidR="000F48C7" w:rsidRPr="00A9710B" w:rsidTr="00A9710B">
        <w:trPr>
          <w:trHeight w:val="1071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972DB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опроса арендаторов земельных участков на предмет удовлетворенности организацией процедур предоставления земельных участков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0E2F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C0DD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9C103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Разрабатывается анкета для арендаторов земельных участков. Анкетирования заявителей-респондентов на предмет удовлетворенности организацией процедур предоставления земельных участков будет проводиться в текущем режиме при предоставлении услуги</w:t>
            </w:r>
          </w:p>
        </w:tc>
      </w:tr>
      <w:tr w:rsidR="000F48C7" w:rsidRPr="00A9710B" w:rsidTr="00A9710B">
        <w:trPr>
          <w:trHeight w:val="846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2574A9">
            <w:pPr>
              <w:pStyle w:val="ConsPlusNormal"/>
              <w:rPr>
                <w:rFonts w:ascii="Liberation Serif" w:hAnsi="Liberation Serif" w:cs="Liberation Serif"/>
                <w:sz w:val="20"/>
                <w:highlight w:val="yellow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Количество консультаций </w:t>
            </w:r>
            <w:r w:rsidRPr="00A9710B">
              <w:rPr>
                <w:rStyle w:val="2Exact"/>
                <w:rFonts w:ascii="Liberation Serif" w:hAnsi="Liberation Serif" w:cs="Liberation Serif"/>
              </w:rPr>
              <w:t xml:space="preserve">по вопросам необходимости уточнения границ земельных участков и оформления прав на недвижимое имущество 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rPr>
                <w:rStyle w:val="2Exact"/>
                <w:rFonts w:ascii="Liberation Serif" w:hAnsi="Liberation Serif" w:cs="Liberation Serif"/>
              </w:rPr>
            </w:pPr>
            <w:r w:rsidRPr="00A9710B">
              <w:rPr>
                <w:rStyle w:val="2Exact"/>
                <w:rFonts w:ascii="Liberation Serif" w:hAnsi="Liberation Serif" w:cs="Liberation Serif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</w:t>
            </w:r>
          </w:p>
          <w:p w:rsidR="000F48C7" w:rsidRPr="00A9710B" w:rsidRDefault="000F48C7" w:rsidP="003A3B6B">
            <w:pPr>
              <w:pStyle w:val="ConsPlusNormal"/>
              <w:rPr>
                <w:rStyle w:val="2Exact"/>
                <w:rFonts w:ascii="Liberation Serif" w:hAnsi="Liberation Serif" w:cs="Liberation Serif"/>
              </w:rPr>
            </w:pP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C0DD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FD7D8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Информация о необходимости уточнения границ </w:t>
            </w:r>
            <w:r w:rsidRPr="00A9710B">
              <w:rPr>
                <w:rStyle w:val="2Exact"/>
                <w:rFonts w:ascii="Liberation Serif" w:hAnsi="Liberation Serif" w:cs="Liberation Serif"/>
              </w:rPr>
              <w:t>земельных участков и оформления прав на недвижимое имущество доводи</w:t>
            </w:r>
            <w:r w:rsidR="00FD7D8C">
              <w:rPr>
                <w:rStyle w:val="2Exact"/>
                <w:rFonts w:ascii="Liberation Serif" w:hAnsi="Liberation Serif" w:cs="Liberation Serif"/>
              </w:rPr>
              <w:t xml:space="preserve">лась </w:t>
            </w:r>
            <w:r w:rsidRPr="00A9710B">
              <w:rPr>
                <w:rStyle w:val="2Exact"/>
                <w:rFonts w:ascii="Liberation Serif" w:hAnsi="Liberation Serif" w:cs="Liberation Serif"/>
              </w:rPr>
              <w:t>до правообладателей на консультациях во время личных приемов граждан в администрации Горноуральского городского округа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D228F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Удовлетворенность мерами поддержки (средний балл)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Размещение информационных материалов о мерах поддержки на официальном сайте округа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1C0DD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1C0DD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На официальном сайте округа действует раздел «Малое и среднее предпринимательство». </w:t>
            </w:r>
          </w:p>
          <w:p w:rsidR="00FD7D8C" w:rsidRDefault="000F48C7" w:rsidP="001C0DD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данном разделе в течение года размещено 37 информационных материалов по вопросам, актуальным для малого бизнеса</w:t>
            </w:r>
            <w:r w:rsidR="00FD7D8C">
              <w:rPr>
                <w:rFonts w:ascii="Liberation Serif" w:hAnsi="Liberation Serif" w:cs="Liberation Serif"/>
                <w:sz w:val="20"/>
              </w:rPr>
              <w:t>.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0F48C7" w:rsidRPr="00A9710B" w:rsidRDefault="000F48C7" w:rsidP="001C0DD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Также на сайте функционирует раздел «Меры поддержки для бизнеса», содержащий полезные ссылки и телефоны для получения информации об актуальных мерах поддержки.</w:t>
            </w:r>
          </w:p>
          <w:p w:rsidR="000F48C7" w:rsidRPr="00A9710B" w:rsidRDefault="000F48C7" w:rsidP="00FD7D8C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 разделе «Инвестору» на официальном сайте округа создан подраздел «Поддержка инвестиционной деятельности», где размещена информация о </w:t>
            </w:r>
            <w:r w:rsidR="00FD7D8C">
              <w:rPr>
                <w:rFonts w:ascii="Liberation Serif" w:hAnsi="Liberation Serif" w:cs="Liberation Serif"/>
                <w:sz w:val="20"/>
              </w:rPr>
              <w:t>поддержке инвестиционной деятельности, регламент сопровождения инвестиционных проектов</w:t>
            </w:r>
          </w:p>
        </w:tc>
      </w:tr>
      <w:tr w:rsidR="000F48C7" w:rsidRPr="00A9710B" w:rsidTr="00A9710B">
        <w:trPr>
          <w:trHeight w:val="128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Информирование субъектов предпринимательства о мерах поддержки на заседаниях Совета по развитию малого и среднего предпринимательства, совещаниях, семинарах с участием субъектов предпринимательства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0705D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FD7D8C" w:rsidP="00DA6C21">
            <w:pPr>
              <w:pStyle w:val="ConsPlusNormal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 xml:space="preserve">В течение 2022 года состоялось 4 заседания Совета </w:t>
            </w:r>
            <w:r w:rsidRPr="00A9710B">
              <w:rPr>
                <w:rFonts w:ascii="Liberation Serif" w:hAnsi="Liberation Serif" w:cs="Liberation Serif"/>
                <w:sz w:val="20"/>
              </w:rPr>
              <w:t>по развитию малого и среднего предпринимательства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E1A09">
              <w:rPr>
                <w:rFonts w:ascii="Liberation Serif" w:hAnsi="Liberation Serif" w:cs="Liberation Serif"/>
                <w:sz w:val="20"/>
              </w:rPr>
              <w:t>в Горноуральском городском округе</w:t>
            </w:r>
            <w:r w:rsidR="000F48C7" w:rsidRPr="00A9710B">
              <w:rPr>
                <w:rFonts w:ascii="Liberation Serif" w:hAnsi="Liberation Serif" w:cs="Liberation Serif"/>
                <w:sz w:val="20"/>
                <w:lang w:eastAsia="en-US"/>
              </w:rPr>
              <w:t xml:space="preserve">, на заседаниях Совета </w:t>
            </w:r>
            <w:r>
              <w:rPr>
                <w:rFonts w:ascii="Liberation Serif" w:hAnsi="Liberation Serif" w:cs="Liberation Serif"/>
                <w:sz w:val="20"/>
                <w:lang w:eastAsia="en-US"/>
              </w:rPr>
              <w:t>до представителей бизнессообщества округа доводилась информация о новых мерах поддержки бизнеса.</w:t>
            </w:r>
          </w:p>
          <w:p w:rsidR="000F48C7" w:rsidRPr="00A9710B" w:rsidRDefault="000F48C7" w:rsidP="00DA6C21">
            <w:pPr>
              <w:pStyle w:val="ConsPlusNormal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A9710B">
              <w:rPr>
                <w:rFonts w:ascii="Liberation Serif" w:hAnsi="Liberation Serif" w:cs="Liberation Serif"/>
                <w:sz w:val="20"/>
                <w:lang w:eastAsia="en-US"/>
              </w:rPr>
              <w:t xml:space="preserve">Также для информирования </w:t>
            </w:r>
            <w:r w:rsidRPr="00A9710B">
              <w:rPr>
                <w:rFonts w:ascii="Liberation Serif" w:hAnsi="Liberation Serif" w:cs="Liberation Serif"/>
                <w:sz w:val="20"/>
              </w:rPr>
              <w:t>субъектов предпринимательства о мерах поддержки</w:t>
            </w:r>
            <w:r w:rsidRPr="00A9710B">
              <w:rPr>
                <w:rFonts w:ascii="Liberation Serif" w:hAnsi="Liberation Serif" w:cs="Liberation Serif"/>
                <w:sz w:val="20"/>
                <w:lang w:eastAsia="en-US"/>
              </w:rPr>
              <w:t xml:space="preserve"> администрацией округа организовывались такие мероприятия, как: </w:t>
            </w:r>
          </w:p>
          <w:p w:rsidR="000F48C7" w:rsidRPr="00A9710B" w:rsidRDefault="000F48C7" w:rsidP="00DA6C21">
            <w:pPr>
              <w:pStyle w:val="ConsPlusNormal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A9710B">
              <w:rPr>
                <w:rFonts w:ascii="Liberation Serif" w:hAnsi="Liberation Serif" w:cs="Liberation Serif"/>
                <w:sz w:val="20"/>
                <w:lang w:eastAsia="en-US"/>
              </w:rPr>
              <w:t>- круглый стол с представителями бизнеса, который состоялся 18.05.2022 в администрации округа;</w:t>
            </w:r>
          </w:p>
          <w:p w:rsidR="000F48C7" w:rsidRDefault="000F48C7" w:rsidP="00DA6C21">
            <w:pPr>
              <w:pStyle w:val="ConsPlusNormal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A9710B">
              <w:rPr>
                <w:rFonts w:ascii="Liberation Serif" w:hAnsi="Liberation Serif" w:cs="Liberation Serif"/>
                <w:sz w:val="20"/>
                <w:lang w:eastAsia="en-US"/>
              </w:rPr>
              <w:t>- форум «День предпринимателя Горноуральского городского округа - 2022»</w:t>
            </w:r>
            <w:r w:rsidR="009A5070">
              <w:rPr>
                <w:rFonts w:ascii="Liberation Serif" w:hAnsi="Liberation Serif" w:cs="Liberation Serif"/>
                <w:sz w:val="20"/>
                <w:lang w:eastAsia="en-US"/>
              </w:rPr>
              <w:t>, проведенный</w:t>
            </w:r>
            <w:r w:rsidRPr="00A9710B">
              <w:rPr>
                <w:rFonts w:ascii="Liberation Serif" w:hAnsi="Liberation Serif" w:cs="Liberation Serif"/>
                <w:sz w:val="20"/>
                <w:lang w:eastAsia="en-US"/>
              </w:rPr>
              <w:t xml:space="preserve"> 26.05.2022 в «АртРезиденции» (п. Черноисточинск)</w:t>
            </w:r>
            <w:r w:rsidR="00FD7D8C">
              <w:rPr>
                <w:rFonts w:ascii="Liberation Serif" w:hAnsi="Liberation Serif" w:cs="Liberation Serif"/>
                <w:sz w:val="20"/>
                <w:lang w:eastAsia="en-US"/>
              </w:rPr>
              <w:t>;</w:t>
            </w:r>
          </w:p>
          <w:p w:rsidR="00FD7D8C" w:rsidRPr="00A9710B" w:rsidRDefault="00FD7D8C" w:rsidP="00DA6C21">
            <w:pPr>
              <w:pStyle w:val="ConsPlusNormal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 xml:space="preserve">- 2 </w:t>
            </w:r>
            <w:r w:rsidR="009A5070">
              <w:rPr>
                <w:rFonts w:ascii="Liberation Serif" w:hAnsi="Liberation Serif" w:cs="Liberation Serif"/>
                <w:sz w:val="20"/>
                <w:lang w:eastAsia="en-US"/>
              </w:rPr>
              <w:t>семинара для руководителей предприятий торговли и общественного питания, участие в которых принял представитель Центра «Мой бизнес» с информацией о мерах господдержки</w:t>
            </w:r>
          </w:p>
        </w:tc>
      </w:tr>
      <w:tr w:rsidR="000F48C7" w:rsidRPr="00A9710B" w:rsidTr="00A9710B">
        <w:trPr>
          <w:trHeight w:val="86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C76A6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опроса субъектов предпринимательства на предмет удовлетворенности мерами поддержки, полученными в 2022 году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9A1AE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Опрос субъектов предпринимательства на предмет удовлетворенности мерами поддержки будет проведен в мае 2023 года</w:t>
            </w:r>
          </w:p>
        </w:tc>
      </w:tr>
      <w:tr w:rsidR="000F48C7" w:rsidRPr="00A9710B" w:rsidTr="00A9710B">
        <w:trPr>
          <w:trHeight w:val="450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33254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Горноуральском городском округе (средний балл)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опубликованных на официальном сайте Горноуральского городского округа:</w:t>
            </w: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-  перечня объектов недвижимого имущества, находящихся в муниципальной собственности и предназначенных для сдачи в аренду;</w:t>
            </w: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- перечня объектов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5344C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8D3B35" w:rsidRDefault="000F48C7" w:rsidP="008D3B3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 2022 году </w:t>
            </w:r>
            <w:r w:rsidR="008D3B35" w:rsidRPr="008D3B35">
              <w:rPr>
                <w:rFonts w:ascii="Liberation Serif" w:hAnsi="Liberation Serif" w:cs="Liberation Serif"/>
                <w:sz w:val="20"/>
              </w:rPr>
              <w:t>в Перечень муниципального имущества Горноуральского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</w:t>
            </w:r>
            <w:r w:rsidR="008D3B35">
              <w:rPr>
                <w:rFonts w:ascii="Liberation Serif" w:hAnsi="Liberation Serif" w:cs="Liberation Serif"/>
                <w:sz w:val="20"/>
              </w:rPr>
              <w:t>ессиональный доход), утвержденный</w:t>
            </w:r>
            <w:r w:rsidR="008D3B35" w:rsidRPr="008D3B35">
              <w:rPr>
                <w:rFonts w:ascii="Liberation Serif" w:hAnsi="Liberation Serif" w:cs="Liberation Serif"/>
                <w:sz w:val="20"/>
              </w:rPr>
              <w:t xml:space="preserve"> постановлением администрации Горноуральского городского округа от 22.09.2021 № 1204</w:t>
            </w:r>
            <w:r w:rsidR="008D3B35">
              <w:rPr>
                <w:rFonts w:ascii="Liberation Serif" w:hAnsi="Liberation Serif" w:cs="Liberation Serif"/>
                <w:sz w:val="20"/>
              </w:rPr>
              <w:t xml:space="preserve">, </w:t>
            </w:r>
            <w:r w:rsidR="008D3B35" w:rsidRPr="008D3B35">
              <w:rPr>
                <w:rFonts w:ascii="Liberation Serif" w:hAnsi="Liberation Serif" w:cs="Liberation Serif"/>
                <w:sz w:val="20"/>
              </w:rPr>
              <w:t>внесен</w:t>
            </w:r>
            <w:r w:rsidR="008D3B35">
              <w:rPr>
                <w:rFonts w:ascii="Liberation Serif" w:hAnsi="Liberation Serif" w:cs="Liberation Serif"/>
                <w:sz w:val="20"/>
              </w:rPr>
              <w:t>ы изменения</w:t>
            </w:r>
            <w:r w:rsidR="008D3B35" w:rsidRPr="008D3B35">
              <w:rPr>
                <w:rFonts w:ascii="Liberation Serif" w:hAnsi="Liberation Serif" w:cs="Liberation Serif"/>
                <w:sz w:val="20"/>
              </w:rPr>
              <w:t xml:space="preserve"> постановлениями администрации Горноуральского городского округа от 27.01.2022 № 75, от 12.04.2022 № 441</w:t>
            </w:r>
            <w:r w:rsidR="008D3B35">
              <w:rPr>
                <w:rFonts w:ascii="Liberation Serif" w:hAnsi="Liberation Serif" w:cs="Liberation Serif"/>
                <w:sz w:val="20"/>
              </w:rPr>
              <w:t xml:space="preserve">, от </w:t>
            </w:r>
            <w:r w:rsidR="008D3B35" w:rsidRPr="008D3B35">
              <w:rPr>
                <w:rFonts w:ascii="Liberation Serif" w:hAnsi="Liberation Serif" w:cs="Liberation Serif"/>
                <w:sz w:val="20"/>
              </w:rPr>
              <w:t>29.06.2022 №</w:t>
            </w:r>
            <w:r w:rsidR="008D3B35">
              <w:rPr>
                <w:rFonts w:ascii="Liberation Serif" w:hAnsi="Liberation Serif" w:cs="Liberation Serif"/>
                <w:sz w:val="20"/>
              </w:rPr>
              <w:t> </w:t>
            </w:r>
            <w:r w:rsidR="008D3B35" w:rsidRPr="008D3B35">
              <w:rPr>
                <w:rFonts w:ascii="Liberation Serif" w:hAnsi="Liberation Serif" w:cs="Liberation Serif"/>
                <w:sz w:val="20"/>
              </w:rPr>
              <w:t>853</w:t>
            </w:r>
            <w:r w:rsidR="008D3B35">
              <w:rPr>
                <w:rFonts w:ascii="Liberation Serif" w:hAnsi="Liberation Serif" w:cs="Liberation Serif"/>
                <w:sz w:val="20"/>
              </w:rPr>
              <w:t>.</w:t>
            </w:r>
            <w:r w:rsidR="008D3B35" w:rsidRPr="008D3B35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0F48C7" w:rsidRPr="00A9710B" w:rsidRDefault="008D3B35" w:rsidP="007E7FB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</w:t>
            </w:r>
            <w:r w:rsidR="000F48C7" w:rsidRPr="00A9710B">
              <w:rPr>
                <w:rFonts w:ascii="Liberation Serif" w:hAnsi="Liberation Serif" w:cs="Liberation Serif"/>
                <w:sz w:val="20"/>
              </w:rPr>
              <w:t xml:space="preserve">о состоянию на </w:t>
            </w:r>
            <w:r>
              <w:rPr>
                <w:rFonts w:ascii="Liberation Serif" w:hAnsi="Liberation Serif" w:cs="Liberation Serif"/>
                <w:sz w:val="20"/>
              </w:rPr>
              <w:t>31.12.2022</w:t>
            </w:r>
            <w:r w:rsidR="000F48C7"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Перечень </w:t>
            </w:r>
            <w:r w:rsidR="007E7FB2">
              <w:rPr>
                <w:rFonts w:ascii="Liberation Serif" w:hAnsi="Liberation Serif" w:cs="Liberation Serif"/>
                <w:sz w:val="20"/>
              </w:rPr>
              <w:t>а</w:t>
            </w:r>
            <w:r w:rsidRPr="00A9710B">
              <w:rPr>
                <w:rFonts w:ascii="Liberation Serif" w:hAnsi="Liberation Serif" w:cs="Liberation Serif"/>
                <w:sz w:val="20"/>
              </w:rPr>
              <w:t>ктуализирован</w:t>
            </w:r>
          </w:p>
        </w:tc>
      </w:tr>
      <w:tr w:rsidR="000F48C7" w:rsidRPr="00A9710B" w:rsidTr="00A9710B">
        <w:trPr>
          <w:trHeight w:val="1479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5344C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опроса субъектов малого предпринимательства на предмет удовлетворенности наличием и доступностью необходимой для ведения бизнеса недвижимости (строений) в Горноуральском городском округе по итогам 2022 года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5344C0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Опрос субъектов предпринимательства на предмет удовлетворенности наличием и доступностью необходимой для ведения бизнеса недвижимости (строений) в Горноуральском городском округе по итогам 2022 года будет проведен в мае 2023 года</w:t>
            </w:r>
          </w:p>
        </w:tc>
      </w:tr>
      <w:tr w:rsidR="000F48C7" w:rsidRPr="00A9710B" w:rsidTr="00A9710B">
        <w:trPr>
          <w:trHeight w:val="92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33254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Удовлетворенность предпринимателей доступностью трудовых ресурсов необходимой квалификации на территории Горноуральского городского округа (средний балл)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Информирование работодателей о возможности поиска трудовых ресурсов необходимой квалификации посредством Общероссийской базы вакансий «Работа в России»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6D7CD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6D7CD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официальном сайте округа действует раздел «Труд и занятость», где регулярно размещаются информационные материалы, касающиеся сферы занятости, в том числе о функционировании информационно-аналитической системы Общероссийская база вакансий «Работа в России». Также данные информационные материалы  направлялись хозяйствующим субъектам округа посредством электронной почты</w:t>
            </w:r>
          </w:p>
        </w:tc>
      </w:tr>
      <w:tr w:rsidR="000F48C7" w:rsidRPr="00A9710B" w:rsidTr="00A9710B">
        <w:trPr>
          <w:trHeight w:val="92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опроса предпринимателей на предмет удовлетворенности доступностью трудовых ресурсов необходимой квалификации на территории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01.06.2022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6D7CD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6D7CD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Опрос предпринимателей на предмет удовлетворенности доступностью трудовых ресурсов необходимой квалификации на территории округа будет проведен в мае 2023 года</w:t>
            </w:r>
          </w:p>
        </w:tc>
      </w:tr>
      <w:tr w:rsidR="000F48C7" w:rsidRPr="00A9710B" w:rsidTr="00A9710B">
        <w:trPr>
          <w:trHeight w:val="102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7F0EE2">
            <w:pP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FC19B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Удовлетворенность предпринимателей работой организации инфраструктуры поддержки предпринимательства </w:t>
            </w:r>
          </w:p>
          <w:p w:rsidR="000F48C7" w:rsidRPr="00A9710B" w:rsidRDefault="000F48C7" w:rsidP="00FC19B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(средний балл)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Информирование предпринимателей и населения о мерах поддержки предпринимательства, в том числе  путем размещения материалов на официальном сайте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C59F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6D7CD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администрацией округа заключено соглашение со Свердловским областным фондом поддержки предпринимательства о предоставлении субсидий из бюджета Горноуральского городского округа на реализацию мероприятий муниципальной программы «Развитие малого и среднего предпринимательства в Горноуральском городском округе на 2015 – 2024 годы». В рамках соглашения Свердловским  областным фондом поддержки предпринимательства обеспечивается предоставление различных услуг для субъектов малого и среднего предпринимательства округа</w:t>
            </w:r>
            <w:r w:rsidR="00D24866">
              <w:rPr>
                <w:rFonts w:ascii="Liberation Serif" w:hAnsi="Liberation Serif" w:cs="Liberation Serif"/>
                <w:sz w:val="20"/>
              </w:rPr>
              <w:t>, в том числе консультирование граждан и субъектов предпринимательства.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0F48C7" w:rsidRPr="00A9710B" w:rsidRDefault="000F48C7" w:rsidP="008360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Информация о мерах поддержки предпринимательства</w:t>
            </w:r>
            <w:r w:rsidR="00D24866">
              <w:rPr>
                <w:rFonts w:ascii="Liberation Serif" w:hAnsi="Liberation Serif" w:cs="Liberation Serif"/>
                <w:sz w:val="20"/>
              </w:rPr>
              <w:t>,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оказываемых </w:t>
            </w:r>
            <w:r w:rsidR="00D24866">
              <w:rPr>
                <w:rFonts w:ascii="Liberation Serif" w:hAnsi="Liberation Serif" w:cs="Liberation Serif"/>
                <w:sz w:val="20"/>
              </w:rPr>
              <w:t xml:space="preserve">администрацией округа и </w:t>
            </w:r>
            <w:r w:rsidRPr="00A9710B">
              <w:rPr>
                <w:rFonts w:ascii="Liberation Serif" w:hAnsi="Liberation Serif" w:cs="Liberation Serif"/>
                <w:sz w:val="20"/>
              </w:rPr>
              <w:t>Свердловским  областным фондом поддержки предпринимательства, размещается на официальном сайте округа, доводится до предпринимателей на заседаниях Совета по развитию малого и среднего предпринимательства в Горноуральском городском округ и путем рассылки по электронной почте</w:t>
            </w:r>
          </w:p>
        </w:tc>
      </w:tr>
      <w:tr w:rsidR="000F48C7" w:rsidRPr="00A9710B" w:rsidTr="007E7FB2">
        <w:trPr>
          <w:trHeight w:val="1017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опроса предпринимателей на предмет удовлетворенности работой организации инфраструктуры поддержки предпринимательства в 2022 году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C59F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5C2DE4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5C2DE4">
              <w:rPr>
                <w:rFonts w:ascii="Liberation Serif" w:hAnsi="Liberation Serif" w:cs="Liberation Serif"/>
                <w:sz w:val="20"/>
              </w:rPr>
              <w:t>Опрос предпринимателей на предмет удовлетворенности работой организации инфраструктуры поддержки предпринимательства в 2022 году будет проведен в мае 2023 года</w:t>
            </w:r>
          </w:p>
        </w:tc>
      </w:tr>
      <w:tr w:rsidR="000F48C7" w:rsidRPr="00A9710B" w:rsidTr="00A9710B">
        <w:trPr>
          <w:trHeight w:val="875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EB070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Доля субъектов малого и среднего предпринимательства, которым оказаны услуги организациями инфраструктуры поддержки предпринимательства в общем количестве субъектов малого и среднего предпринимательства в Горноуральском городском округе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64417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Проведение мероприятий для субъектов малого и среднего предпринимательства (семинары, круглые столы и др.)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C59F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5C2DE4" w:rsidRDefault="000F48C7" w:rsidP="007B011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5C2DE4">
              <w:rPr>
                <w:rFonts w:ascii="Liberation Serif" w:hAnsi="Liberation Serif" w:cs="Liberation Serif"/>
                <w:sz w:val="20"/>
              </w:rPr>
              <w:t>В течение года для предпринимателей округа проведены следующие мероприятия:</w:t>
            </w:r>
          </w:p>
          <w:p w:rsidR="000F48C7" w:rsidRPr="005C2DE4" w:rsidRDefault="000F48C7" w:rsidP="00852AD3">
            <w:pPr>
              <w:pStyle w:val="ConsPlusNormal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5C2DE4">
              <w:rPr>
                <w:rFonts w:ascii="Liberation Serif" w:hAnsi="Liberation Serif" w:cs="Liberation Serif"/>
                <w:sz w:val="20"/>
                <w:lang w:eastAsia="en-US"/>
              </w:rPr>
              <w:t>круглый стол с представителями бизнеса 18.05.2022;</w:t>
            </w:r>
          </w:p>
          <w:p w:rsidR="005C2DE4" w:rsidRPr="005C2DE4" w:rsidRDefault="000F48C7" w:rsidP="00852AD3">
            <w:pPr>
              <w:pStyle w:val="ConsPlusNormal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5C2DE4">
              <w:rPr>
                <w:rFonts w:ascii="Liberation Serif" w:hAnsi="Liberation Serif" w:cs="Liberation Serif"/>
                <w:sz w:val="20"/>
                <w:lang w:eastAsia="en-US"/>
              </w:rPr>
              <w:t>- форум «День предпринимателя Горноуральского городского округ</w:t>
            </w:r>
            <w:r w:rsidR="005C2DE4" w:rsidRPr="005C2DE4">
              <w:rPr>
                <w:rFonts w:ascii="Liberation Serif" w:hAnsi="Liberation Serif" w:cs="Liberation Serif"/>
                <w:sz w:val="20"/>
                <w:lang w:eastAsia="en-US"/>
              </w:rPr>
              <w:t>а - 2022» проведен 26.05.2022 в </w:t>
            </w:r>
            <w:r w:rsidRPr="005C2DE4">
              <w:rPr>
                <w:rFonts w:ascii="Liberation Serif" w:hAnsi="Liberation Serif" w:cs="Liberation Serif"/>
                <w:sz w:val="20"/>
                <w:lang w:eastAsia="en-US"/>
              </w:rPr>
              <w:t>«АртРезиденции» (п. Черноисточинск)</w:t>
            </w:r>
          </w:p>
        </w:tc>
      </w:tr>
      <w:tr w:rsidR="000F48C7" w:rsidRPr="00A9710B" w:rsidTr="00A9710B">
        <w:trPr>
          <w:trHeight w:val="1059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Ведение реестра субъектов малого и среднего предпринимательства, которым оказаны услуги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C59F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CC59F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Сведения о субъектах малого и среднего предпринимательства, которым оказаны услуги, формируются Свердловским  областным фондом поддержки предпринимательства. В 2022 году 70 субъектам малого и среднего предпринимательства были оказаны услуги, что составило 8,9% в общем количестве субъектов малого и среднего предпринимательства в Горноуральском городском округе </w:t>
            </w:r>
          </w:p>
        </w:tc>
      </w:tr>
      <w:tr w:rsidR="000F48C7" w:rsidRPr="00A9710B" w:rsidTr="007E7FB2">
        <w:trPr>
          <w:trHeight w:val="592"/>
        </w:trPr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Доля стоимости заключенных контрактов с субъектами малого предпринимательства </w:t>
            </w: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 рамках процедур торгов 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соответствии с требованиями Федерального закона от 5 апреля 2013 года № 44-ФЗ и Федерального закона от 18 июля 2011 года  № 223-ФЗ в общей стоимости заключенных муниципальных контрактов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методических семинаров для муниципальных заказчиков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  <w:p w:rsidR="000F48C7" w:rsidRPr="00A9710B" w:rsidRDefault="000F48C7" w:rsidP="00C76A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CC59F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методических семинаров для муниципальных заказчиков планируется в 2023 году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Обеспечение увеличения объема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привлечения субъектов малого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предпринимательства в качестве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субподрядчиков при исполнении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муниципальных контрактов в сфере строительства и ремонта автомобильных дорог, капитального строительства, реконструкции объектов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капитального строительства,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благоустройства до 75% от цен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таких контрактов, заключенных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или планируемых к заключению</w:t>
            </w:r>
          </w:p>
          <w:p w:rsidR="000F48C7" w:rsidRPr="00A9710B" w:rsidRDefault="000F48C7" w:rsidP="00AE68C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курируемыми учреждениями и</w:t>
            </w:r>
          </w:p>
          <w:p w:rsidR="000F48C7" w:rsidRPr="00A9710B" w:rsidRDefault="000F48C7" w:rsidP="007A4CF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предприятиями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01.02.2023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FA19E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FA19E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отчетном году цена контрактов в округе составила 324,35 млн. рублей, доля участия субъектов малого</w:t>
            </w:r>
          </w:p>
          <w:p w:rsidR="000F48C7" w:rsidRPr="00A9710B" w:rsidRDefault="000F48C7" w:rsidP="00FA19E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предпринимательства в качестве</w:t>
            </w:r>
          </w:p>
          <w:p w:rsidR="000F48C7" w:rsidRPr="00A9710B" w:rsidRDefault="000F48C7" w:rsidP="00FA19E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субподрядчиков при исполнении</w:t>
            </w:r>
          </w:p>
          <w:p w:rsidR="000F48C7" w:rsidRPr="00A9710B" w:rsidRDefault="000F48C7" w:rsidP="00FA19E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муниципальных контрактов составила 81% (264,12 млн. рублей)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D77E5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Рассмотрение возможности расширения практики осуществления закупок</w:t>
            </w:r>
          </w:p>
          <w:p w:rsidR="000F48C7" w:rsidRPr="00A9710B" w:rsidRDefault="000F48C7" w:rsidP="00D77E5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немонтируемого оборудования в рамках мероприятий по строительству, реконструкции, капитальному или текущему ремонту посредством выведения в отдельную закупку поставки</w:t>
            </w:r>
          </w:p>
          <w:p w:rsidR="000F48C7" w:rsidRPr="00A9710B" w:rsidRDefault="000F48C7" w:rsidP="00D77E5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такого оборудования с обязательным установлением преимуществ участникам закупок, которыми могут быть только</w:t>
            </w:r>
          </w:p>
          <w:p w:rsidR="000F48C7" w:rsidRPr="00A9710B" w:rsidRDefault="000F48C7" w:rsidP="00D77E5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субъекты малого предпринимательства, социально ориентированные некоммерческие организации в случаях, если начальная (максимальная) цена</w:t>
            </w:r>
          </w:p>
          <w:p w:rsidR="000F48C7" w:rsidRPr="00A9710B" w:rsidRDefault="000F48C7" w:rsidP="007A4CF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контракта не превышает 20 млн. рублей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01.02.2023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FA19E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360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Возможность расширения практики осуществления закупок</w:t>
            </w:r>
            <w:r w:rsidR="0083602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>немонтируемого оборудования в рамках мероприятий по строительству, реконструкции, капитальному или текущему ремонту посредством выведения в отдельную закупку поставки такого оборудования с обязательным установлением преимуществ участникам закупок, которыми могут быть только</w:t>
            </w:r>
            <w:r w:rsidR="0083602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>субъекты малого предпринимательства, социально ориентированные некоммерческие организации в случаях, если начальная (максимальная) цена</w:t>
            </w:r>
            <w:r w:rsidR="0083602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контракта не превышает 20 млн. рублей, рассмотрена. </w:t>
            </w:r>
            <w:r w:rsidRPr="00A9710B">
              <w:rPr>
                <w:rFonts w:ascii="Liberation Serif" w:hAnsi="Liberation Serif" w:cs="Liberation Serif"/>
                <w:color w:val="000000"/>
                <w:sz w:val="20"/>
              </w:rPr>
              <w:t>В 2022 году заключены 7 муниципальных контрактов с субъектами малого предпринимательства на поставку оборудования при проведении текущих ремонтов на общую сумму 1 117,61 тыс.рублей.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F0EE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7973D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объемов закупок у субъектов малого предпринимательства в рамках процедур торгов в соответствии с требованиями Федерального закона от 5 апреля 2013 года № 44-ФЗ и Федерального закона от 18 июля 2011 года № 223-ФЗ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D7035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  <w:p w:rsidR="000F48C7" w:rsidRPr="00A9710B" w:rsidRDefault="000F48C7" w:rsidP="00D77E5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0F48C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FB54C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Мониторинг проведен. По результатам процедур торгов в соответствии с Федеральным законом от 5 апреля 2013 года № 44-ФЗ в 2022 году заключено 147 муниципальных контрактов, в том числе у субъектов малого предпринимательства 138 муниципальных контрактов. </w:t>
            </w:r>
          </w:p>
          <w:p w:rsidR="000F48C7" w:rsidRPr="00A9710B" w:rsidRDefault="000F48C7" w:rsidP="000F48C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 субъектами малого предпринимательства контракты заключены на общую сумму 121,49 млн. рублей, что составляет 22,2 % от общей суммы заключенных контрактов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Изменение объема финансирования муниципальных программ, направленных на развитие </w:t>
            </w: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 поддержку малого </w:t>
            </w: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 среднего предпринимательства за счет всех бюджетных источников к уровню предыдущего года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Обеспечение финансирования муниципальной программы «Развитие малого </w:t>
            </w:r>
            <w:r w:rsidRPr="00A9710B">
              <w:rPr>
                <w:rFonts w:ascii="Liberation Serif" w:hAnsi="Liberation Serif" w:cs="Liberation Serif"/>
                <w:bCs/>
                <w:sz w:val="20"/>
                <w:shd w:val="clear" w:color="auto" w:fill="FFFFFF"/>
              </w:rPr>
              <w:t>и среднего предпринимательства в Горноуральском городском округе на 2015 – 2025 годы»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6524C" w:rsidP="000F48C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360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На финансирование мероприятий муниципальной программы «Развитие малого и среднего предпринимательства в Горноуральском городском округе на 2015 – 2025 годы» в 2022 году было </w:t>
            </w:r>
            <w:r w:rsidR="0083602B">
              <w:rPr>
                <w:rFonts w:ascii="Liberation Serif" w:hAnsi="Liberation Serif" w:cs="Liberation Serif"/>
                <w:sz w:val="20"/>
              </w:rPr>
              <w:t>запланирован</w:t>
            </w:r>
            <w:r w:rsidRPr="00A9710B">
              <w:rPr>
                <w:rFonts w:ascii="Liberation Serif" w:hAnsi="Liberation Serif" w:cs="Liberation Serif"/>
                <w:sz w:val="20"/>
              </w:rPr>
              <w:t>о 541,0 тыс. рублей, освоено 361,22 тыс. рублей, что на 5,9% больше, чем в предыдущем году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Изменение количества субъектов малого </w:t>
            </w:r>
          </w:p>
          <w:p w:rsidR="000F48C7" w:rsidRPr="00A9710B" w:rsidRDefault="000F48C7" w:rsidP="002574A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 среднего предпринимательства, зарегистрированных на территории Горноуральского городского округа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мероприятий, направленных на пропаганду и популяризацию предпринимательской деятельности</w:t>
            </w: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6524C" w:rsidP="0006524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6524C" w:rsidRPr="00A9710B" w:rsidRDefault="0006524C" w:rsidP="0006524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 целях популяризации предпринимательской деятельности в округе проведены следующие мероприятия: </w:t>
            </w:r>
          </w:p>
          <w:p w:rsidR="0006524C" w:rsidRPr="00A9710B" w:rsidRDefault="0006524C" w:rsidP="0006524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1) 26.05.2022 в День российского предприним</w:t>
            </w:r>
            <w:r w:rsidR="005C2DE4">
              <w:rPr>
                <w:rFonts w:ascii="Liberation Serif" w:hAnsi="Liberation Serif" w:cs="Liberation Serif"/>
                <w:sz w:val="20"/>
              </w:rPr>
              <w:t>ательства в «АртРезиденции» (п.</w:t>
            </w:r>
            <w:r w:rsidRPr="00A9710B">
              <w:rPr>
                <w:rFonts w:ascii="Liberation Serif" w:hAnsi="Liberation Serif" w:cs="Liberation Serif"/>
                <w:sz w:val="20"/>
              </w:rPr>
              <w:t>Черноисточинск) прошел форум «День предпринимателя Горноуральского городского округа - 2022</w:t>
            </w:r>
            <w:r w:rsidR="0083602B">
              <w:rPr>
                <w:rFonts w:ascii="Liberation Serif" w:hAnsi="Liberation Serif" w:cs="Liberation Serif"/>
                <w:sz w:val="20"/>
              </w:rPr>
              <w:t>»</w:t>
            </w:r>
            <w:r w:rsidRPr="00A9710B">
              <w:rPr>
                <w:rFonts w:ascii="Liberation Serif" w:hAnsi="Liberation Serif" w:cs="Liberation Serif"/>
                <w:sz w:val="20"/>
              </w:rPr>
              <w:t>. Форум посетили 41 участник;</w:t>
            </w:r>
          </w:p>
          <w:p w:rsidR="0006524C" w:rsidRPr="00A9710B" w:rsidRDefault="0006524C" w:rsidP="0006524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2) с 20.06 по 15.07.2022 администрацией округа был объявлен конкурс на звание «Лучший магазин-2022. В конкурсе приняли участие 5 субъектов малого </w:t>
            </w:r>
          </w:p>
          <w:p w:rsidR="0006524C" w:rsidRPr="00A9710B" w:rsidRDefault="0006524C" w:rsidP="0006524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 среднего предпринимательства из 5 населенных пунктов округа;</w:t>
            </w:r>
          </w:p>
          <w:p w:rsidR="0083602B" w:rsidRDefault="0006524C" w:rsidP="008360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3) в период с 21.09 по 14.10.2022 года в округе проводились мероприятия по реализации проекта «Школа бизнеса», ориентированного на развитие молодежного предпринимательства. Общее количество участников данного проекта составило 84 человека, из числа школьников и студентов</w:t>
            </w:r>
            <w:r w:rsidR="0083602B">
              <w:rPr>
                <w:rFonts w:ascii="Liberation Serif" w:hAnsi="Liberation Serif" w:cs="Liberation Serif"/>
                <w:sz w:val="20"/>
              </w:rPr>
              <w:t>;</w:t>
            </w:r>
          </w:p>
          <w:p w:rsidR="000F48C7" w:rsidRPr="00A9710B" w:rsidRDefault="0083602B" w:rsidP="008360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4) </w:t>
            </w:r>
            <w:r w:rsidRPr="0083602B">
              <w:rPr>
                <w:rFonts w:ascii="Liberation Serif" w:hAnsi="Liberation Serif" w:cs="Liberation Serif"/>
                <w:sz w:val="20"/>
              </w:rPr>
              <w:t>14</w:t>
            </w:r>
            <w:r>
              <w:rPr>
                <w:rFonts w:ascii="Liberation Serif" w:hAnsi="Liberation Serif" w:cs="Liberation Serif"/>
                <w:sz w:val="20"/>
              </w:rPr>
              <w:t>.12.2022</w:t>
            </w:r>
            <w:r w:rsidRPr="0083602B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в новом коворкинг-центре в пгт.</w:t>
            </w:r>
            <w:r w:rsidRPr="0083602B">
              <w:rPr>
                <w:rFonts w:ascii="Liberation Serif" w:hAnsi="Liberation Serif" w:cs="Liberation Serif"/>
                <w:sz w:val="20"/>
              </w:rPr>
              <w:t>Горноуральский прошел Молодежный форум «Ключи от будущего», участниками которого стали студенты Лайского филиала Высокогорск</w:t>
            </w:r>
            <w:r>
              <w:rPr>
                <w:rFonts w:ascii="Liberation Serif" w:hAnsi="Liberation Serif" w:cs="Liberation Serif"/>
                <w:sz w:val="20"/>
              </w:rPr>
              <w:t>ого многопрофильного техникума (</w:t>
            </w:r>
            <w:r w:rsidRPr="0083602B">
              <w:rPr>
                <w:rFonts w:ascii="Liberation Serif" w:hAnsi="Liberation Serif" w:cs="Liberation Serif"/>
                <w:sz w:val="20"/>
              </w:rPr>
              <w:t>22 студентам были вручены сертификаты об участии</w:t>
            </w:r>
            <w:r>
              <w:rPr>
                <w:rFonts w:ascii="Liberation Serif" w:hAnsi="Liberation Serif" w:cs="Liberation Serif"/>
                <w:sz w:val="20"/>
              </w:rPr>
              <w:t>)</w:t>
            </w:r>
            <w:r w:rsidRPr="0083602B">
              <w:rPr>
                <w:rFonts w:ascii="Liberation Serif" w:hAnsi="Liberation Serif" w:cs="Liberation Serif"/>
                <w:sz w:val="20"/>
              </w:rPr>
              <w:t xml:space="preserve">. </w:t>
            </w:r>
            <w:r w:rsidR="0006524C"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мониторинга количества субъектов малого и среднего предпринимательства Горноуральского городского округа, классификация их по видам экономической деятельности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E0154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ежеквартально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8A05BC" w:rsidP="008A05B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8A05BC" w:rsidP="008A05B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количества субъектов малого и среднего предпринимательства Горноуральского городского округа</w:t>
            </w:r>
            <w:r w:rsidR="0083602B">
              <w:rPr>
                <w:rFonts w:ascii="Liberation Serif" w:hAnsi="Liberation Serif" w:cs="Liberation Serif"/>
                <w:sz w:val="20"/>
              </w:rPr>
              <w:t>, в том числе по видам экономической деятельности,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осуществлялся ежеквартально. По состоянию на 01.01.2023 в округе зарегистрировано 788 субъектов малого и среднего предпринимательства</w:t>
            </w:r>
          </w:p>
        </w:tc>
      </w:tr>
      <w:tr w:rsidR="000F48C7" w:rsidRPr="00A9710B" w:rsidTr="007E7FB2">
        <w:trPr>
          <w:trHeight w:val="308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8F1D3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в числе за счет земельных участков и имущества, закрепленного за муниципальными унитарными предприятиями и учреждениями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F7409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перечня имущества, свободного от прав третьих лиц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7973D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8A05BC" w:rsidP="008A05B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8A05BC" w:rsidRPr="00A9710B" w:rsidRDefault="008A05BC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Перечень</w:t>
            </w:r>
            <w:r w:rsidRPr="00A9710B">
              <w:rPr>
                <w:rFonts w:ascii="Liberation Serif" w:hAnsi="Liberation Serif" w:cs="Liberation Serif"/>
                <w:b/>
                <w:bCs/>
                <w:color w:val="18477A"/>
                <w:kern w:val="36"/>
                <w:sz w:val="20"/>
              </w:rPr>
              <w:t xml:space="preserve">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муниципального недвижимого имущества Горноуральского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 актуализирован постановлением администрации Горноуральского городского округа от 29.06.2022 № 853 </w:t>
            </w:r>
          </w:p>
        </w:tc>
      </w:tr>
      <w:tr w:rsidR="000F48C7" w:rsidRPr="00A9710B" w:rsidTr="00A9710B">
        <w:trPr>
          <w:trHeight w:val="2367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F1D3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F1D37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Обеспечение увеличения на 10% в течение отчетного года количества объектов в Перечнях муниципального имущества, свободного от прав третьих лиц, в том числе за счет земельных участков и имущества, закрепленного за муниципальными унитарными предприятиями и учреждениями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ежегодно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E01546" w:rsidP="00E0154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E01546" w:rsidRPr="00A9710B" w:rsidRDefault="00E01546" w:rsidP="00E0154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 2022 году </w:t>
            </w:r>
            <w:r w:rsidR="008A05BC" w:rsidRPr="00A9710B">
              <w:rPr>
                <w:rFonts w:ascii="Liberation Serif" w:hAnsi="Liberation Serif" w:cs="Liberation Serif"/>
                <w:sz w:val="20"/>
              </w:rPr>
              <w:t>перечень</w:t>
            </w:r>
            <w:r w:rsidR="008A05BC" w:rsidRPr="00A9710B">
              <w:rPr>
                <w:rFonts w:ascii="Liberation Serif" w:hAnsi="Liberation Serif" w:cs="Liberation Serif"/>
                <w:b/>
                <w:bCs/>
                <w:color w:val="18477A"/>
                <w:kern w:val="36"/>
                <w:sz w:val="20"/>
              </w:rPr>
              <w:t xml:space="preserve"> </w:t>
            </w:r>
            <w:r w:rsidR="008A05BC" w:rsidRPr="00A9710B">
              <w:rPr>
                <w:rFonts w:ascii="Liberation Serif" w:hAnsi="Liberation Serif" w:cs="Liberation Serif"/>
                <w:sz w:val="20"/>
              </w:rPr>
              <w:t>муниципального недвижимого имущества Горноуральского городского округа, свободного от прав третьих лиц</w:t>
            </w:r>
            <w:r w:rsidRPr="00A9710B">
              <w:rPr>
                <w:rFonts w:ascii="Liberation Serif" w:hAnsi="Liberation Serif" w:cs="Liberation Serif"/>
                <w:sz w:val="20"/>
              </w:rPr>
              <w:t>, был увеличен на 1 объект или на 5,</w:t>
            </w:r>
            <w:r w:rsidR="0083602B">
              <w:rPr>
                <w:rFonts w:ascii="Liberation Serif" w:hAnsi="Liberation Serif" w:cs="Liberation Serif"/>
                <w:sz w:val="20"/>
              </w:rPr>
              <w:t>6</w:t>
            </w:r>
            <w:r w:rsidRPr="00A9710B">
              <w:rPr>
                <w:rFonts w:ascii="Liberation Serif" w:hAnsi="Liberation Serif" w:cs="Liberation Serif"/>
                <w:sz w:val="20"/>
              </w:rPr>
              <w:t>% к прошлому году.</w:t>
            </w:r>
            <w:r w:rsidR="008A05BC"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E01546" w:rsidRPr="00A9710B" w:rsidRDefault="00E01546" w:rsidP="00E0154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состоянию на 01.01.2023 в данный перечень включено</w:t>
            </w:r>
            <w:r w:rsidR="008A05BC" w:rsidRPr="00A9710B">
              <w:rPr>
                <w:rFonts w:ascii="Liberation Serif" w:hAnsi="Liberation Serif" w:cs="Liberation Serif"/>
                <w:sz w:val="20"/>
              </w:rPr>
              <w:t xml:space="preserve"> 19 объектов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муниципального недвижимого имущества Горноуральского городского округа, свободного от прав третьих лиц, что соответствует плановому значению показателя, установленному на 2022 год муниципальным компонентом региональной составляющей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0F48C7" w:rsidRPr="00A9710B" w:rsidTr="00A9710B">
        <w:trPr>
          <w:trHeight w:val="1289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2574A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Формирование раздела «Имущественная поддержка субъектов малого и среднего предпринимательства» на официальном сайте Горноуральского городского округа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F7409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Актуализация раздела «Имущественная поддержка субъектов малого и среднего предпринимательства» на официальном сайте Горноуральского городского округа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E01546" w:rsidP="00E01546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CB2F5A" w:rsidP="00671FE0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течение года</w:t>
            </w:r>
            <w:r w:rsidR="005A5922" w:rsidRPr="00A9710B">
              <w:rPr>
                <w:rFonts w:ascii="Liberation Serif" w:hAnsi="Liberation Serif" w:cs="Liberation Serif"/>
                <w:sz w:val="20"/>
              </w:rPr>
              <w:t xml:space="preserve"> на официальном сайте округа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раздел «Имущественная поддержка субъектов малого и среднего предпринимательства» актуализировался по мере необходимости, в том числе актуализированы: </w:t>
            </w:r>
          </w:p>
          <w:p w:rsidR="00CB2F5A" w:rsidRPr="00A9710B" w:rsidRDefault="00CB2F5A" w:rsidP="00CB2F5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- перечень нормативно-правовых актов;</w:t>
            </w:r>
          </w:p>
          <w:p w:rsidR="00CB2F5A" w:rsidRPr="00A9710B" w:rsidRDefault="00CB2F5A" w:rsidP="00CB2F5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- перечень муниципального недвижимого имущества Горноуральского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граждан);</w:t>
            </w:r>
          </w:p>
          <w:p w:rsidR="00CB2F5A" w:rsidRPr="00A9710B" w:rsidRDefault="00CB2F5A" w:rsidP="00CB2F5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- информация о деятельности рабочей группы по вопросам оказания имущественной поддержки</w:t>
            </w:r>
          </w:p>
          <w:p w:rsidR="00CB2F5A" w:rsidRPr="00A9710B" w:rsidRDefault="00CB2F5A" w:rsidP="00CB2F5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субъектам малого и среднего предпринимательства на территории Горноуральского городского округа</w:t>
            </w:r>
          </w:p>
        </w:tc>
      </w:tr>
      <w:tr w:rsidR="000F48C7" w:rsidRPr="00A9710B" w:rsidTr="00A9710B">
        <w:trPr>
          <w:trHeight w:val="591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391F2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Наличие актуальной информации о состоянии конкурентной среды</w:t>
            </w:r>
            <w:r w:rsidRPr="00A9710B">
              <w:rPr>
                <w:rFonts w:ascii="Liberation Serif" w:hAnsi="Liberation Serif" w:cs="Liberation Serif"/>
                <w:sz w:val="20"/>
              </w:rPr>
              <w:br/>
              <w:t>и деятельности органов местного самоуправления на официальном сайте Горноуральского городского округа (да/нет)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565D0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  раздела «Развит</w:t>
            </w:r>
            <w:r w:rsidR="00565D09" w:rsidRPr="00A9710B">
              <w:rPr>
                <w:rFonts w:ascii="Liberation Serif" w:hAnsi="Liberation Serif" w:cs="Liberation Serif"/>
                <w:sz w:val="20"/>
              </w:rPr>
              <w:t>ие конкуренции» на  официальном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сайте </w:t>
            </w:r>
            <w:r w:rsidR="00565D09" w:rsidRPr="00A9710B">
              <w:rPr>
                <w:rFonts w:ascii="Liberation Serif" w:hAnsi="Liberation Serif" w:cs="Liberation Serif"/>
                <w:sz w:val="20"/>
              </w:rPr>
              <w:t xml:space="preserve">Горноуральского городского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округа 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постоянно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5A5922" w:rsidP="005A592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565D09" w:rsidRPr="00A9710B" w:rsidRDefault="00565D09" w:rsidP="00565D0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течение года</w:t>
            </w:r>
            <w:r w:rsidR="005A5922" w:rsidRPr="00A9710B">
              <w:rPr>
                <w:rFonts w:ascii="Liberation Serif" w:hAnsi="Liberation Serif" w:cs="Liberation Serif"/>
                <w:sz w:val="20"/>
              </w:rPr>
              <w:t xml:space="preserve"> на официальном сайте округа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в разделе «Развитие конкуренции» актуализированы: </w:t>
            </w:r>
          </w:p>
          <w:p w:rsidR="005A5922" w:rsidRPr="00A9710B" w:rsidRDefault="00565D09" w:rsidP="008F6A0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- </w:t>
            </w:r>
            <w:r w:rsidR="008F6A08" w:rsidRPr="00A9710B">
              <w:rPr>
                <w:rFonts w:ascii="Liberation Serif" w:hAnsi="Liberation Serif" w:cs="Liberation Serif"/>
                <w:sz w:val="20"/>
              </w:rPr>
              <w:t>план мероприятий («дорожная карта») по содействию развитию конкуренции на территории Горноуральского городского округа</w:t>
            </w:r>
            <w:r w:rsidR="005A5922" w:rsidRPr="00A9710B">
              <w:rPr>
                <w:rFonts w:ascii="Liberation Serif" w:hAnsi="Liberation Serif" w:cs="Liberation Serif"/>
                <w:sz w:val="20"/>
              </w:rPr>
              <w:t>;</w:t>
            </w:r>
          </w:p>
          <w:p w:rsidR="005A5922" w:rsidRPr="00A9710B" w:rsidRDefault="005A5922" w:rsidP="005A592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- реестр хозяйствующих субъектов с долей муниципального образования более 50 процентов;</w:t>
            </w:r>
          </w:p>
          <w:p w:rsidR="000F48C7" w:rsidRPr="00A9710B" w:rsidRDefault="005A5922" w:rsidP="005A592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- результаты опроса граждан и представителей бизнеса.</w:t>
            </w:r>
          </w:p>
          <w:p w:rsidR="005A5922" w:rsidRPr="00A9710B" w:rsidRDefault="005A5922" w:rsidP="005A592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Также в данном разделе размещались отчеты о реализации плана мероприятий («дорожной карты») по содействию развитию конкуренции на территории Горноуральского городского округа</w:t>
            </w:r>
          </w:p>
        </w:tc>
      </w:tr>
      <w:tr w:rsidR="000F48C7" w:rsidRPr="00A9710B" w:rsidTr="00A9710B">
        <w:trPr>
          <w:trHeight w:val="691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Рассмотрение вопросов в сфере развития конкуренции на заседаниях Совета по развитию малого и среднего предпринимательства в Горноуральском городском округе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5A5922" w:rsidP="005A592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D046CF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На заседаниях Совета по развитию малого и среднего предпринимательства в Горноуральском городском округе были рассмотрены следующие вопросы в сфере развития конкуренции: </w:t>
            </w:r>
          </w:p>
          <w:p w:rsidR="00D046CF" w:rsidRPr="005C2DE4" w:rsidRDefault="00D046CF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- о перечне инвестиционных площадок </w:t>
            </w:r>
            <w:r w:rsidRPr="005C2DE4">
              <w:rPr>
                <w:rFonts w:ascii="Liberation Serif" w:hAnsi="Liberation Serif" w:cs="Liberation Serif"/>
                <w:sz w:val="20"/>
              </w:rPr>
              <w:t>Горноуральского городского округа;</w:t>
            </w:r>
          </w:p>
          <w:p w:rsidR="00ED128A" w:rsidRPr="005C2DE4" w:rsidRDefault="00ED128A" w:rsidP="00ED12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5C2DE4">
              <w:rPr>
                <w:rFonts w:ascii="Liberation Serif" w:hAnsi="Liberation Serif" w:cs="Liberation Serif"/>
                <w:sz w:val="20"/>
              </w:rPr>
              <w:t>- о развитии туризма на территории Горноуральского городского округа;</w:t>
            </w:r>
          </w:p>
          <w:p w:rsidR="00ED128A" w:rsidRPr="005C2DE4" w:rsidRDefault="00ED128A" w:rsidP="00ED12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5C2DE4">
              <w:rPr>
                <w:rFonts w:ascii="Liberation Serif" w:hAnsi="Liberation Serif" w:cs="Liberation Serif"/>
                <w:sz w:val="20"/>
              </w:rPr>
              <w:t>- об участии предпринимателей Горноуральского городского округа в программах поддержки Свердловского областного фонда поддержки</w:t>
            </w:r>
          </w:p>
          <w:p w:rsidR="00ED128A" w:rsidRPr="00A9710B" w:rsidRDefault="00ED128A" w:rsidP="00ED128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5C2DE4">
              <w:rPr>
                <w:rFonts w:ascii="Liberation Serif" w:hAnsi="Liberation Serif" w:cs="Liberation Serif"/>
                <w:sz w:val="20"/>
              </w:rPr>
              <w:t>предпринимательства</w:t>
            </w:r>
          </w:p>
        </w:tc>
      </w:tr>
      <w:tr w:rsidR="000F48C7" w:rsidRPr="00A9710B" w:rsidTr="00A9710B">
        <w:trPr>
          <w:trHeight w:val="691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Публикация на официальном сайте округа </w:t>
            </w:r>
            <w:r w:rsidR="00ED128A" w:rsidRPr="00A9710B">
              <w:rPr>
                <w:rFonts w:ascii="Liberation Serif" w:hAnsi="Liberation Serif" w:cs="Liberation Serif"/>
                <w:sz w:val="20"/>
              </w:rPr>
              <w:t xml:space="preserve">   </w:t>
            </w:r>
            <w:r w:rsidRPr="00A9710B">
              <w:rPr>
                <w:rFonts w:ascii="Liberation Serif" w:hAnsi="Liberation Serif" w:cs="Liberation Serif"/>
                <w:sz w:val="20"/>
              </w:rPr>
              <w:t>и в газете «Пригородная газета» информации о развитии конкуренции в Горноуральском городском округе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F1D37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ED128A" w:rsidP="00ED128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ED128A" w:rsidP="00F401F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Информация </w:t>
            </w:r>
            <w:r w:rsidR="00F401FA" w:rsidRPr="00A9710B">
              <w:rPr>
                <w:rFonts w:ascii="Liberation Serif" w:hAnsi="Liberation Serif" w:cs="Liberation Serif"/>
                <w:sz w:val="20"/>
              </w:rPr>
              <w:t xml:space="preserve">о развитии конкуренции в Горноуральском городском округе </w:t>
            </w:r>
            <w:r w:rsidRPr="00A9710B">
              <w:rPr>
                <w:rFonts w:ascii="Liberation Serif" w:hAnsi="Liberation Serif" w:cs="Liberation Serif"/>
                <w:sz w:val="20"/>
              </w:rPr>
              <w:t>публиковалась на официальном сайте округа в раздел</w:t>
            </w:r>
            <w:r w:rsidR="00F401FA" w:rsidRPr="00A9710B">
              <w:rPr>
                <w:rFonts w:ascii="Liberation Serif" w:hAnsi="Liberation Serif" w:cs="Liberation Serif"/>
                <w:sz w:val="20"/>
              </w:rPr>
              <w:t>ах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«Анонсы событий», </w:t>
            </w:r>
            <w:r w:rsidR="00F401FA" w:rsidRPr="00A9710B">
              <w:rPr>
                <w:rFonts w:ascii="Liberation Serif" w:hAnsi="Liberation Serif" w:cs="Liberation Serif"/>
                <w:sz w:val="20"/>
              </w:rPr>
              <w:t xml:space="preserve">«Развитие конкуренции»,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«Малое и среднее предпринимательство», </w:t>
            </w:r>
            <w:r w:rsidR="00F401FA" w:rsidRPr="00A9710B">
              <w:rPr>
                <w:rFonts w:ascii="Liberation Serif" w:hAnsi="Liberation Serif" w:cs="Liberation Serif"/>
                <w:sz w:val="20"/>
              </w:rPr>
              <w:t>«Сельское хозяйство», «Инвестору», а также размещалась в газете «Пригородная газета».</w:t>
            </w:r>
          </w:p>
          <w:p w:rsidR="00F401FA" w:rsidRPr="00A9710B" w:rsidRDefault="00CB4184" w:rsidP="00CB418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Всего опубликовано 62 информационных статьи </w:t>
            </w:r>
          </w:p>
        </w:tc>
      </w:tr>
      <w:tr w:rsidR="000F48C7" w:rsidRPr="00A9710B" w:rsidTr="00A9710B">
        <w:trPr>
          <w:trHeight w:val="308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E7301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Наличие утвержденного Плана мероприятий («дорожной карты») по содействию развития конкуренции на территории Горноуральского городского округа (да/нет)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A01B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Формирование и размещение отчетов (полугодового и годового) о реализации Плана мероприятий («дорожной карты») по содействию развития конкуренции на территории Горноуральского городского округа в 2022 году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</w:t>
            </w:r>
          </w:p>
          <w:p w:rsidR="000F48C7" w:rsidRPr="00A9710B" w:rsidRDefault="000F48C7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01.04.2023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ED128A" w:rsidP="00ED128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CB4184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Отчеты о реализации Плана мероприятий («дорожной карты») по содействию развития конкуренции на территории Горноуральского городского округа за первое полугодие 2022 года и за 2022 год сформированы и размещены на официальном сайте округа в разделе «Развитие конкуренции»</w:t>
            </w:r>
          </w:p>
        </w:tc>
      </w:tr>
      <w:tr w:rsidR="000F48C7" w:rsidRPr="00A9710B" w:rsidTr="007E7FB2">
        <w:trPr>
          <w:trHeight w:val="449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A01B9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Актуализация Плана мероприятий («дорожной карты») по содействию развития конкуренции на территории Горноуральского городского округа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</w:t>
            </w:r>
          </w:p>
          <w:p w:rsidR="000F48C7" w:rsidRPr="00A9710B" w:rsidRDefault="000F48C7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01.06.2023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CB4184" w:rsidP="00CB418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CB4184" w:rsidP="00CB418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План мероприятий («дорожная карта») по содействию развития конкуренции на территории Горноуральского городского округа актуализирован постановлением администрации Горноуральского городского округа от 30.05.2022 № 680 «Об утверждении Плана мероприятий («дорожной карты») по содействию развитию конкуренции на территории Горноуральского городского округа на период 2022-2025 годов»</w:t>
            </w:r>
          </w:p>
        </w:tc>
      </w:tr>
      <w:tr w:rsidR="00CB4184" w:rsidRPr="00A9710B" w:rsidTr="00A9710B">
        <w:tc>
          <w:tcPr>
            <w:tcW w:w="243" w:type="pct"/>
            <w:shd w:val="clear" w:color="auto" w:fill="auto"/>
          </w:tcPr>
          <w:p w:rsidR="00CB4184" w:rsidRPr="00A9710B" w:rsidRDefault="00CB4184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CB4184" w:rsidRPr="00A9710B" w:rsidRDefault="00CB4184" w:rsidP="00E7301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Ведение реестра хозяйствующих субъектов, доля участия муниципального образования в которых 50% и более (да/нет)</w:t>
            </w:r>
          </w:p>
        </w:tc>
        <w:tc>
          <w:tcPr>
            <w:tcW w:w="1306" w:type="pct"/>
            <w:shd w:val="clear" w:color="auto" w:fill="auto"/>
          </w:tcPr>
          <w:p w:rsidR="00CB4184" w:rsidRPr="00A9710B" w:rsidRDefault="00CB4184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реестра хозяйствующих субъектов Горноуральского городского округа, доля участия муниципального образования в которых 50% и более</w:t>
            </w:r>
          </w:p>
        </w:tc>
        <w:tc>
          <w:tcPr>
            <w:tcW w:w="593" w:type="pct"/>
            <w:shd w:val="clear" w:color="auto" w:fill="auto"/>
          </w:tcPr>
          <w:p w:rsidR="00CB4184" w:rsidRPr="00A9710B" w:rsidRDefault="00CB4184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CB4184" w:rsidRPr="00A9710B" w:rsidRDefault="00CB4184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4184" w:rsidRPr="00A9710B" w:rsidRDefault="00CB4184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1 декабря</w:t>
            </w:r>
          </w:p>
          <w:p w:rsidR="00CB4184" w:rsidRPr="00A9710B" w:rsidRDefault="00CB4184" w:rsidP="00A01B9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CB4184" w:rsidRPr="00A9710B" w:rsidRDefault="00CB4184" w:rsidP="00CB418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vMerge w:val="restart"/>
            <w:shd w:val="clear" w:color="auto" w:fill="auto"/>
          </w:tcPr>
          <w:p w:rsidR="00CB4184" w:rsidRPr="00A9710B" w:rsidRDefault="00CB4184" w:rsidP="00CB418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Реестр хозяйствующих субъектов Горноуральского городского округа, доля участия муниципального образования в которых 50% и более актуализирован по состоянию на 01.12.2022 и размещен на официальном сайте округа</w:t>
            </w:r>
          </w:p>
        </w:tc>
      </w:tr>
      <w:tr w:rsidR="00CB4184" w:rsidRPr="00A9710B" w:rsidTr="00A9710B">
        <w:tc>
          <w:tcPr>
            <w:tcW w:w="243" w:type="pct"/>
            <w:shd w:val="clear" w:color="auto" w:fill="auto"/>
          </w:tcPr>
          <w:p w:rsidR="00CB4184" w:rsidRPr="00A9710B" w:rsidRDefault="00CB4184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CB4184" w:rsidRPr="00A9710B" w:rsidRDefault="00CB4184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CB4184" w:rsidRPr="00A9710B" w:rsidRDefault="00CB4184" w:rsidP="00671FE0">
            <w:pPr>
              <w:pStyle w:val="ConsPlusNormal"/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</w:pPr>
            <w:r w:rsidRPr="00A9710B"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  <w:t>Размещение реестра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хозяйствующих субъектов, доля участия муниципального образования в которых 50% и более,</w:t>
            </w:r>
            <w:r w:rsidRPr="00A9710B"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  <w:t xml:space="preserve"> на официальном сайте округа </w:t>
            </w:r>
          </w:p>
        </w:tc>
        <w:tc>
          <w:tcPr>
            <w:tcW w:w="593" w:type="pct"/>
            <w:shd w:val="clear" w:color="auto" w:fill="auto"/>
          </w:tcPr>
          <w:p w:rsidR="00CB4184" w:rsidRPr="00A9710B" w:rsidRDefault="00CB4184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CB4184" w:rsidRPr="00A9710B" w:rsidRDefault="00CB4184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CB4184" w:rsidRPr="00A9710B" w:rsidRDefault="00CB4184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1 декабря </w:t>
            </w:r>
          </w:p>
        </w:tc>
        <w:tc>
          <w:tcPr>
            <w:tcW w:w="516" w:type="pct"/>
            <w:shd w:val="clear" w:color="auto" w:fill="auto"/>
          </w:tcPr>
          <w:p w:rsidR="00CB4184" w:rsidRPr="00A9710B" w:rsidRDefault="00CB4184" w:rsidP="00CB418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vMerge/>
            <w:shd w:val="clear" w:color="auto" w:fill="auto"/>
          </w:tcPr>
          <w:p w:rsidR="00CB4184" w:rsidRPr="00A9710B" w:rsidRDefault="00CB4184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E7301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ежегодного мониторинга конкурентной среды (да/нет)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Размещение на официальном сайте Горноуральского городского округа анкет для проведения мониторинга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CB2F5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после получения форм анкетирования от Министерства инвестиций и развития Свердловской области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CB4184" w:rsidP="00CB418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CB4184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анкеты для проведения мониторинга конкурентной среды размещались на официальном сайте округа в разделе «Развитие конкуренции» и в разделе «Анонсы событий» на главной странице сайта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Проведение опроса потребителей товаров, работ, услуг и субъектов предпринимательской деятельности 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30 октября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F20E59" w:rsidP="00F20E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CB4184" w:rsidP="00CB4184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Опрос проведен, результаты опроса размещены на официальном сайте округа в разделе «Развитие конкуренции» и направлены в Министерство инвестиций и развития Свердловской области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Доля закупок в отчетном году у субъектов малого и среднего предпринимательства, осуществленных в соответствии с Федеральным законом от 18 июля 2011 года № 223-ФЗ (доля)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Мониторинг объема закупок у субъектов малого предпринимательства, осуществленных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7973D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до 01.06.2023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F20E59" w:rsidP="00F20E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F20E59" w:rsidP="00DF60C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Мониторинг проведен, по результатам процедур торгов в соответствии Федеральным законом от 18 июля 2011 года № 223-ФЗ «О закупках товаров, работ, услуг отдельными видами юридических лиц» за 2022 год заключен 1 договор с субъектом малого предпринимательства на сумму 480,3 тыс. рублей, что составило 100% от общей суммы заключенных договоров </w:t>
            </w:r>
            <w:r w:rsidR="00DF60CE">
              <w:rPr>
                <w:rFonts w:ascii="Liberation Serif" w:hAnsi="Liberation Serif" w:cs="Liberation Serif"/>
                <w:sz w:val="20"/>
              </w:rPr>
              <w:t>в соответствии с вышеуказанным законом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110FA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Сформирована муниципальная практика содействия развитию конкуренции (да/нет)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529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Формирование информации об успешных практиках содействия развитию конкуренции в Горноуральском городском округе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30 декабря 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F20E59" w:rsidP="00F20E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C726E7" w:rsidP="00C726E7">
            <w:pPr>
              <w:pStyle w:val="ConsPlusNormal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2022 году Горноуральский городской округ представил муниципальную практику «Содействие развитию рынка производства и реализации сельскохозяйственной продукции» на заседании координационной комиссии по содействию развитию конкуренции в Свердловской области 04.03.2022</w:t>
            </w:r>
          </w:p>
        </w:tc>
      </w:tr>
      <w:tr w:rsidR="000F48C7" w:rsidRPr="00A9710B" w:rsidTr="00A9710B">
        <w:trPr>
          <w:trHeight w:val="449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11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710B">
              <w:rPr>
                <w:rFonts w:ascii="Liberation Serif" w:hAnsi="Liberation Serif" w:cs="Liberation Serif"/>
                <w:sz w:val="20"/>
                <w:szCs w:val="20"/>
              </w:rPr>
              <w:t>Наличие размещенного на официальном сайте Горноуральского городского округа доклада об организации системы внутреннего обеспечения соответствия требованиям антимонопольного законодательства в Горноуральском городском округе (да/нет)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Подготовка и размещение на </w:t>
            </w:r>
            <w:r w:rsidRPr="00A9710B"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  <w:t>официальном сайте Горноуральского городского округа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доклада о системе обеспечения антимонопольных требований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до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1 марта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F20E59" w:rsidP="00F20E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803C3C" w:rsidP="00803C3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Доклад подготовлен и размещен на </w:t>
            </w:r>
            <w:r w:rsidRPr="00A9710B">
              <w:rPr>
                <w:rFonts w:ascii="Liberation Serif" w:hAnsi="Liberation Serif" w:cs="Liberation Serif"/>
                <w:sz w:val="20"/>
                <w:shd w:val="clear" w:color="auto" w:fill="FFFFFF" w:themeFill="background1"/>
              </w:rPr>
              <w:t xml:space="preserve">официальном сайте округа </w:t>
            </w:r>
          </w:p>
        </w:tc>
      </w:tr>
      <w:tr w:rsidR="000F48C7" w:rsidRPr="00A9710B" w:rsidTr="00A9710B">
        <w:trPr>
          <w:trHeight w:val="1151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3612C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Положения об организации системы внутреннего обеспечения соответствия требованиям антимонопольного законодательства в администрации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 мере необходимости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803C3C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не 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803C3C" w:rsidP="00803C3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Положение об организации системы внутреннего обеспечения соответствия требованиям антимонопольного законодательства в администрации Горноуральского городского округа в 2022 году не актуализировалось</w:t>
            </w:r>
          </w:p>
        </w:tc>
      </w:tr>
      <w:tr w:rsidR="000F48C7" w:rsidRPr="00A9710B" w:rsidTr="007E7FB2">
        <w:trPr>
          <w:trHeight w:val="1253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Количество субъектов малого предпринимательства (включая индивидуальных предпринимателей) в расчете на 1 тыс. человек населения (единиц на 1000 человек населения)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Проведение мониторинга количества субъектов малого предпринимательства (включая индивидуальных предпринимателей) в Горноуральском городском округе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CB2F5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ежеквартально 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DF60C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Мониторинг осуществляется ежеквартально, по состоянию на 01.01.2023 в округе зарегистрировано 788 субъектов </w:t>
            </w:r>
            <w:r w:rsidR="00803C3C" w:rsidRPr="00A9710B">
              <w:rPr>
                <w:rFonts w:ascii="Liberation Serif" w:hAnsi="Liberation Serif" w:cs="Liberation Serif"/>
                <w:sz w:val="20"/>
              </w:rPr>
              <w:t>малого и среднего предпринимательства</w:t>
            </w:r>
            <w:r w:rsidR="00A9710B">
              <w:rPr>
                <w:rFonts w:ascii="Liberation Serif" w:hAnsi="Liberation Serif" w:cs="Liberation Serif"/>
                <w:sz w:val="20"/>
              </w:rPr>
              <w:t xml:space="preserve"> или 2</w:t>
            </w:r>
            <w:r w:rsidR="00DF60CE">
              <w:rPr>
                <w:rFonts w:ascii="Liberation Serif" w:hAnsi="Liberation Serif" w:cs="Liberation Serif"/>
                <w:sz w:val="20"/>
              </w:rPr>
              <w:t>6,7</w:t>
            </w:r>
            <w:r w:rsidR="00A9710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A9710B" w:rsidRPr="00A9710B">
              <w:rPr>
                <w:rFonts w:ascii="Liberation Serif" w:hAnsi="Liberation Serif" w:cs="Liberation Serif"/>
                <w:sz w:val="20"/>
              </w:rPr>
              <w:t xml:space="preserve">субъектов </w:t>
            </w:r>
            <w:r w:rsidR="00A9710B">
              <w:rPr>
                <w:rFonts w:ascii="Liberation Serif" w:hAnsi="Liberation Serif" w:cs="Liberation Serif"/>
                <w:sz w:val="20"/>
              </w:rPr>
              <w:t xml:space="preserve">на </w:t>
            </w:r>
            <w:r w:rsidR="00A9710B" w:rsidRPr="00A9710B">
              <w:rPr>
                <w:rFonts w:ascii="Liberation Serif" w:hAnsi="Liberation Serif" w:cs="Liberation Serif"/>
                <w:sz w:val="20"/>
              </w:rPr>
              <w:t>1 тыс</w:t>
            </w:r>
            <w:r w:rsidR="00A9710B">
              <w:rPr>
                <w:rFonts w:ascii="Liberation Serif" w:hAnsi="Liberation Serif" w:cs="Liberation Serif"/>
                <w:sz w:val="20"/>
              </w:rPr>
              <w:t>ячу</w:t>
            </w:r>
            <w:r w:rsidR="00A9710B" w:rsidRPr="00A9710B">
              <w:rPr>
                <w:rFonts w:ascii="Liberation Serif" w:hAnsi="Liberation Serif" w:cs="Liberation Serif"/>
                <w:sz w:val="20"/>
              </w:rPr>
              <w:t xml:space="preserve"> человек населения</w:t>
            </w:r>
          </w:p>
        </w:tc>
      </w:tr>
      <w:tr w:rsidR="000F48C7" w:rsidRPr="00A9710B" w:rsidTr="00A9710B"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0F48C7" w:rsidRPr="00A9710B" w:rsidRDefault="000F48C7" w:rsidP="000B7AED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Количество инвестиционных проектов с участием бизнеса, реализуемых  в отчетном году с использованием всех форм финансирования (на 1000 хозяйствующих субъектов) 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8B7959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Формирование реестра инвестиционных проектов с участием бизнеса, реализованных и реализуемых на территории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3612C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течение года</w:t>
            </w: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на исполнении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Реестр</w:t>
            </w:r>
            <w:r w:rsidR="00803C3C" w:rsidRPr="00A9710B">
              <w:rPr>
                <w:rFonts w:ascii="Liberation Serif" w:hAnsi="Liberation Serif" w:cs="Liberation Serif"/>
                <w:sz w:val="20"/>
              </w:rPr>
              <w:t xml:space="preserve"> инвестиционных проектов с участием бизнеса, реализованных и реализуемых на территории Горноуральского городского округа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803C3C" w:rsidRPr="00A9710B">
              <w:rPr>
                <w:rFonts w:ascii="Liberation Serif" w:hAnsi="Liberation Serif" w:cs="Liberation Serif"/>
                <w:sz w:val="20"/>
              </w:rPr>
              <w:t xml:space="preserve">по состоянию на 01.01.2023 </w:t>
            </w:r>
            <w:r w:rsidRPr="00A9710B">
              <w:rPr>
                <w:rFonts w:ascii="Liberation Serif" w:hAnsi="Liberation Serif" w:cs="Liberation Serif"/>
                <w:sz w:val="20"/>
              </w:rPr>
              <w:t xml:space="preserve">сформирован </w:t>
            </w:r>
          </w:p>
        </w:tc>
      </w:tr>
      <w:tr w:rsidR="000F48C7" w:rsidRPr="00A9710B" w:rsidTr="00A9710B">
        <w:trPr>
          <w:trHeight w:val="1380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0F48C7" w:rsidRPr="00A9710B" w:rsidRDefault="000F48C7" w:rsidP="00361F2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Количество инвестиционных площадок на 1 тыс. хозяйствующих субъектов (единиц на 1000 хозяйствующих субъектов)</w:t>
            </w: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CB561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Актуализация перечня инвестиционных площадок на территории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A9710B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Перечень инвестиционных площадок на территории Горноуральского городского округа актуализирован </w:t>
            </w:r>
            <w:r w:rsidR="00803C3C" w:rsidRPr="00A9710B">
              <w:rPr>
                <w:rFonts w:ascii="Liberation Serif" w:hAnsi="Liberation Serif" w:cs="Liberation Serif"/>
                <w:sz w:val="20"/>
              </w:rPr>
              <w:t>п</w:t>
            </w:r>
            <w:r w:rsidRPr="00A9710B">
              <w:rPr>
                <w:rFonts w:ascii="Liberation Serif" w:hAnsi="Liberation Serif" w:cs="Liberation Serif"/>
                <w:sz w:val="20"/>
              </w:rPr>
              <w:t>остановлением администрации Горноуральского городского округа от 09.12.2022 №1765 и составил 38 инвестиционных площадок</w:t>
            </w:r>
            <w:r w:rsidR="00A9710B">
              <w:rPr>
                <w:rFonts w:ascii="Liberation Serif" w:hAnsi="Liberation Serif" w:cs="Liberation Serif"/>
                <w:sz w:val="20"/>
              </w:rPr>
              <w:t xml:space="preserve"> или 48,22 площадок на 1 </w:t>
            </w:r>
            <w:r w:rsidR="00A9710B" w:rsidRPr="00A9710B">
              <w:rPr>
                <w:rFonts w:ascii="Liberation Serif" w:hAnsi="Liberation Serif" w:cs="Liberation Serif"/>
                <w:sz w:val="20"/>
              </w:rPr>
              <w:t>тыс</w:t>
            </w:r>
            <w:r w:rsidR="00A9710B">
              <w:rPr>
                <w:rFonts w:ascii="Liberation Serif" w:hAnsi="Liberation Serif" w:cs="Liberation Serif"/>
                <w:sz w:val="20"/>
              </w:rPr>
              <w:t xml:space="preserve">ячу </w:t>
            </w:r>
            <w:r w:rsidR="00A9710B" w:rsidRPr="00A9710B">
              <w:rPr>
                <w:rFonts w:ascii="Liberation Serif" w:hAnsi="Liberation Serif" w:cs="Liberation Serif"/>
                <w:sz w:val="20"/>
              </w:rPr>
              <w:t>хозяйствующих субъектов</w:t>
            </w:r>
          </w:p>
        </w:tc>
      </w:tr>
      <w:tr w:rsidR="000F48C7" w:rsidRPr="00A9710B" w:rsidTr="00A9710B">
        <w:trPr>
          <w:trHeight w:val="982"/>
        </w:trPr>
        <w:tc>
          <w:tcPr>
            <w:tcW w:w="243" w:type="pct"/>
            <w:shd w:val="clear" w:color="auto" w:fill="auto"/>
          </w:tcPr>
          <w:p w:rsidR="000F48C7" w:rsidRPr="00A9710B" w:rsidRDefault="000F48C7" w:rsidP="007B63C1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0F48C7" w:rsidRPr="00A9710B" w:rsidRDefault="000F48C7" w:rsidP="00361F2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6" w:type="pct"/>
            <w:shd w:val="clear" w:color="auto" w:fill="auto"/>
          </w:tcPr>
          <w:p w:rsidR="000F48C7" w:rsidRPr="00A9710B" w:rsidRDefault="000F48C7" w:rsidP="00380DB3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Включение не менее 3 объектов в Базу данных инвестиционных площадок, расположенных на территории  Горноуральского городского округа</w:t>
            </w:r>
          </w:p>
        </w:tc>
        <w:tc>
          <w:tcPr>
            <w:tcW w:w="593" w:type="pct"/>
            <w:shd w:val="clear" w:color="auto" w:fill="auto"/>
          </w:tcPr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 xml:space="preserve">ежегодно </w:t>
            </w:r>
          </w:p>
          <w:p w:rsidR="000F48C7" w:rsidRPr="00A9710B" w:rsidRDefault="000F48C7" w:rsidP="001A0F8E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16" w:type="pct"/>
            <w:shd w:val="clear" w:color="auto" w:fill="auto"/>
          </w:tcPr>
          <w:p w:rsidR="000F48C7" w:rsidRPr="00A9710B" w:rsidRDefault="000F48C7" w:rsidP="00803C3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исполнено</w:t>
            </w:r>
          </w:p>
        </w:tc>
        <w:tc>
          <w:tcPr>
            <w:tcW w:w="1498" w:type="pct"/>
            <w:shd w:val="clear" w:color="auto" w:fill="auto"/>
          </w:tcPr>
          <w:p w:rsidR="000F48C7" w:rsidRPr="00A9710B" w:rsidRDefault="000F48C7" w:rsidP="00D16DE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A9710B">
              <w:rPr>
                <w:rFonts w:ascii="Liberation Serif" w:hAnsi="Liberation Serif" w:cs="Liberation Serif"/>
                <w:sz w:val="20"/>
              </w:rPr>
              <w:t>В базу данных инвестиционных площадок, расположенных на территории  Горноуральского городского округа включено 4 объекта</w:t>
            </w:r>
          </w:p>
        </w:tc>
      </w:tr>
    </w:tbl>
    <w:p w:rsidR="00C52AC6" w:rsidRPr="007B63C1" w:rsidRDefault="00C52AC6" w:rsidP="008B7959">
      <w:pPr>
        <w:pStyle w:val="ConsPlusNormal"/>
        <w:rPr>
          <w:rFonts w:ascii="Liberation Serif" w:hAnsi="Liberation Serif" w:cs="Liberation Serif"/>
          <w:sz w:val="20"/>
        </w:rPr>
      </w:pPr>
    </w:p>
    <w:sectPr w:rsidR="00C52AC6" w:rsidRPr="007B63C1" w:rsidSect="00A9710B">
      <w:headerReference w:type="default" r:id="rId8"/>
      <w:pgSz w:w="16838" w:h="11905" w:orient="landscape"/>
      <w:pgMar w:top="1418" w:right="567" w:bottom="567" w:left="567" w:header="68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CF" w:rsidRDefault="00AE1DCF" w:rsidP="002C521F">
      <w:pPr>
        <w:spacing w:after="0" w:line="240" w:lineRule="auto"/>
      </w:pPr>
      <w:r>
        <w:separator/>
      </w:r>
    </w:p>
  </w:endnote>
  <w:endnote w:type="continuationSeparator" w:id="0">
    <w:p w:rsidR="00AE1DCF" w:rsidRDefault="00AE1DCF" w:rsidP="002C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CF" w:rsidRDefault="00AE1DCF" w:rsidP="002C521F">
      <w:pPr>
        <w:spacing w:after="0" w:line="240" w:lineRule="auto"/>
      </w:pPr>
      <w:r>
        <w:separator/>
      </w:r>
    </w:p>
  </w:footnote>
  <w:footnote w:type="continuationSeparator" w:id="0">
    <w:p w:rsidR="00AE1DCF" w:rsidRDefault="00AE1DCF" w:rsidP="002C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76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8D3B35" w:rsidRDefault="008D3B35">
        <w:pPr>
          <w:pStyle w:val="aa"/>
          <w:jc w:val="center"/>
        </w:pPr>
        <w:r w:rsidRPr="002C521F">
          <w:rPr>
            <w:rFonts w:ascii="Liberation Serif" w:hAnsi="Liberation Serif" w:cs="Liberation Serif"/>
          </w:rPr>
          <w:fldChar w:fldCharType="begin"/>
        </w:r>
        <w:r w:rsidRPr="002C521F">
          <w:rPr>
            <w:rFonts w:ascii="Liberation Serif" w:hAnsi="Liberation Serif" w:cs="Liberation Serif"/>
          </w:rPr>
          <w:instrText xml:space="preserve"> PAGE   \* MERGEFORMAT </w:instrText>
        </w:r>
        <w:r w:rsidRPr="002C521F">
          <w:rPr>
            <w:rFonts w:ascii="Liberation Serif" w:hAnsi="Liberation Serif" w:cs="Liberation Serif"/>
          </w:rPr>
          <w:fldChar w:fldCharType="separate"/>
        </w:r>
        <w:r w:rsidR="007E7FB2">
          <w:rPr>
            <w:rFonts w:ascii="Liberation Serif" w:hAnsi="Liberation Serif" w:cs="Liberation Serif"/>
            <w:noProof/>
          </w:rPr>
          <w:t>19</w:t>
        </w:r>
        <w:r w:rsidRPr="002C521F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DD"/>
    <w:multiLevelType w:val="hybridMultilevel"/>
    <w:tmpl w:val="5942BC22"/>
    <w:lvl w:ilvl="0" w:tplc="40D4630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764787"/>
    <w:multiLevelType w:val="hybridMultilevel"/>
    <w:tmpl w:val="97668EDA"/>
    <w:lvl w:ilvl="0" w:tplc="49C0ACAA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35D"/>
    <w:multiLevelType w:val="hybridMultilevel"/>
    <w:tmpl w:val="67743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530FF"/>
    <w:multiLevelType w:val="hybridMultilevel"/>
    <w:tmpl w:val="6876E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57EC"/>
    <w:multiLevelType w:val="hybridMultilevel"/>
    <w:tmpl w:val="A0901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4C0A"/>
    <w:multiLevelType w:val="multilevel"/>
    <w:tmpl w:val="DE1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D72A1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E16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7100"/>
    <w:multiLevelType w:val="hybridMultilevel"/>
    <w:tmpl w:val="9410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483F"/>
    <w:multiLevelType w:val="hybridMultilevel"/>
    <w:tmpl w:val="5644FCA8"/>
    <w:lvl w:ilvl="0" w:tplc="40D46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B56302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0AC7"/>
    <w:multiLevelType w:val="hybridMultilevel"/>
    <w:tmpl w:val="5B0C5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03AA0"/>
    <w:multiLevelType w:val="hybridMultilevel"/>
    <w:tmpl w:val="A33265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B076E"/>
    <w:multiLevelType w:val="hybridMultilevel"/>
    <w:tmpl w:val="6876E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512C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2938"/>
    <w:multiLevelType w:val="hybridMultilevel"/>
    <w:tmpl w:val="E7FA21DA"/>
    <w:lvl w:ilvl="0" w:tplc="712897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6B5C"/>
    <w:multiLevelType w:val="hybridMultilevel"/>
    <w:tmpl w:val="F0522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326608"/>
    <w:multiLevelType w:val="hybridMultilevel"/>
    <w:tmpl w:val="2DDC9610"/>
    <w:lvl w:ilvl="0" w:tplc="5CDCD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209F5"/>
    <w:multiLevelType w:val="hybridMultilevel"/>
    <w:tmpl w:val="719A7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3888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16EFB"/>
    <w:multiLevelType w:val="hybridMultilevel"/>
    <w:tmpl w:val="E85A4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5449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3002"/>
    <w:multiLevelType w:val="hybridMultilevel"/>
    <w:tmpl w:val="2BAEF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F1EF3"/>
    <w:multiLevelType w:val="hybridMultilevel"/>
    <w:tmpl w:val="316A0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74343"/>
    <w:multiLevelType w:val="hybridMultilevel"/>
    <w:tmpl w:val="2BAEF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15762"/>
    <w:multiLevelType w:val="hybridMultilevel"/>
    <w:tmpl w:val="6B1474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18"/>
  </w:num>
  <w:num w:numId="10">
    <w:abstractNumId w:val="12"/>
  </w:num>
  <w:num w:numId="11">
    <w:abstractNumId w:val="24"/>
  </w:num>
  <w:num w:numId="12">
    <w:abstractNumId w:val="22"/>
  </w:num>
  <w:num w:numId="13">
    <w:abstractNumId w:val="23"/>
  </w:num>
  <w:num w:numId="14">
    <w:abstractNumId w:val="6"/>
  </w:num>
  <w:num w:numId="15">
    <w:abstractNumId w:val="13"/>
  </w:num>
  <w:num w:numId="16">
    <w:abstractNumId w:val="25"/>
  </w:num>
  <w:num w:numId="17">
    <w:abstractNumId w:val="10"/>
  </w:num>
  <w:num w:numId="18">
    <w:abstractNumId w:val="20"/>
  </w:num>
  <w:num w:numId="19">
    <w:abstractNumId w:val="19"/>
  </w:num>
  <w:num w:numId="20">
    <w:abstractNumId w:val="2"/>
  </w:num>
  <w:num w:numId="21">
    <w:abstractNumId w:val="16"/>
  </w:num>
  <w:num w:numId="22">
    <w:abstractNumId w:val="7"/>
  </w:num>
  <w:num w:numId="23">
    <w:abstractNumId w:val="1"/>
  </w:num>
  <w:num w:numId="24">
    <w:abstractNumId w:val="21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B1E"/>
    <w:rsid w:val="00001B93"/>
    <w:rsid w:val="00005814"/>
    <w:rsid w:val="00010A39"/>
    <w:rsid w:val="00017765"/>
    <w:rsid w:val="00017B0C"/>
    <w:rsid w:val="000212A8"/>
    <w:rsid w:val="00027BF8"/>
    <w:rsid w:val="00035AFB"/>
    <w:rsid w:val="000465EB"/>
    <w:rsid w:val="00046935"/>
    <w:rsid w:val="0005458D"/>
    <w:rsid w:val="00060BFD"/>
    <w:rsid w:val="00062DF0"/>
    <w:rsid w:val="0006524C"/>
    <w:rsid w:val="00067551"/>
    <w:rsid w:val="000705DE"/>
    <w:rsid w:val="00070C69"/>
    <w:rsid w:val="00071D70"/>
    <w:rsid w:val="00072B1E"/>
    <w:rsid w:val="00074345"/>
    <w:rsid w:val="000960EB"/>
    <w:rsid w:val="000A0D78"/>
    <w:rsid w:val="000A43BF"/>
    <w:rsid w:val="000A77FD"/>
    <w:rsid w:val="000A7E7F"/>
    <w:rsid w:val="000B1472"/>
    <w:rsid w:val="000B2614"/>
    <w:rsid w:val="000B7AED"/>
    <w:rsid w:val="000C2F73"/>
    <w:rsid w:val="000C509E"/>
    <w:rsid w:val="000C73E9"/>
    <w:rsid w:val="000D1220"/>
    <w:rsid w:val="000D2FA2"/>
    <w:rsid w:val="000D4FB7"/>
    <w:rsid w:val="000E0402"/>
    <w:rsid w:val="000E13D1"/>
    <w:rsid w:val="000E1719"/>
    <w:rsid w:val="000E2F33"/>
    <w:rsid w:val="000E2F7E"/>
    <w:rsid w:val="000E3058"/>
    <w:rsid w:val="000E3307"/>
    <w:rsid w:val="000F48C7"/>
    <w:rsid w:val="000F4EA6"/>
    <w:rsid w:val="00100831"/>
    <w:rsid w:val="0010731D"/>
    <w:rsid w:val="00110EC5"/>
    <w:rsid w:val="00110FAE"/>
    <w:rsid w:val="00113D59"/>
    <w:rsid w:val="00120ACB"/>
    <w:rsid w:val="0012504E"/>
    <w:rsid w:val="0013104B"/>
    <w:rsid w:val="00133212"/>
    <w:rsid w:val="0013655A"/>
    <w:rsid w:val="00137B4D"/>
    <w:rsid w:val="001409A8"/>
    <w:rsid w:val="0014572F"/>
    <w:rsid w:val="001462FF"/>
    <w:rsid w:val="001466F7"/>
    <w:rsid w:val="0015199A"/>
    <w:rsid w:val="001530BD"/>
    <w:rsid w:val="00155651"/>
    <w:rsid w:val="001558E1"/>
    <w:rsid w:val="00157A1F"/>
    <w:rsid w:val="001647E8"/>
    <w:rsid w:val="0016548E"/>
    <w:rsid w:val="001659BC"/>
    <w:rsid w:val="00173E27"/>
    <w:rsid w:val="0018547D"/>
    <w:rsid w:val="0018556C"/>
    <w:rsid w:val="00185BDE"/>
    <w:rsid w:val="00186EEF"/>
    <w:rsid w:val="0019077C"/>
    <w:rsid w:val="00193F88"/>
    <w:rsid w:val="001A0F8E"/>
    <w:rsid w:val="001A3D47"/>
    <w:rsid w:val="001A48F1"/>
    <w:rsid w:val="001A4B88"/>
    <w:rsid w:val="001A6C9F"/>
    <w:rsid w:val="001B393D"/>
    <w:rsid w:val="001B5530"/>
    <w:rsid w:val="001B7DBE"/>
    <w:rsid w:val="001C0DD0"/>
    <w:rsid w:val="001C4D9C"/>
    <w:rsid w:val="001C5792"/>
    <w:rsid w:val="001C7F04"/>
    <w:rsid w:val="001D0FA6"/>
    <w:rsid w:val="001D34FF"/>
    <w:rsid w:val="001D7551"/>
    <w:rsid w:val="001E1580"/>
    <w:rsid w:val="001E4BA6"/>
    <w:rsid w:val="001F1D05"/>
    <w:rsid w:val="00213C79"/>
    <w:rsid w:val="0021498A"/>
    <w:rsid w:val="00216AE6"/>
    <w:rsid w:val="00223CFE"/>
    <w:rsid w:val="00231E37"/>
    <w:rsid w:val="002352D0"/>
    <w:rsid w:val="00240DB8"/>
    <w:rsid w:val="00245139"/>
    <w:rsid w:val="0025418A"/>
    <w:rsid w:val="0025447F"/>
    <w:rsid w:val="002574A9"/>
    <w:rsid w:val="00263B5A"/>
    <w:rsid w:val="0026564B"/>
    <w:rsid w:val="002764AC"/>
    <w:rsid w:val="00277010"/>
    <w:rsid w:val="00277622"/>
    <w:rsid w:val="00283417"/>
    <w:rsid w:val="0028473A"/>
    <w:rsid w:val="00287FA0"/>
    <w:rsid w:val="002922DB"/>
    <w:rsid w:val="00295C7A"/>
    <w:rsid w:val="002A1B21"/>
    <w:rsid w:val="002A35B9"/>
    <w:rsid w:val="002B0044"/>
    <w:rsid w:val="002B180D"/>
    <w:rsid w:val="002B35F0"/>
    <w:rsid w:val="002B4118"/>
    <w:rsid w:val="002C231A"/>
    <w:rsid w:val="002C521F"/>
    <w:rsid w:val="002D2A4B"/>
    <w:rsid w:val="002F0ACF"/>
    <w:rsid w:val="002F33EC"/>
    <w:rsid w:val="002F4DBF"/>
    <w:rsid w:val="00306691"/>
    <w:rsid w:val="00311CDF"/>
    <w:rsid w:val="00314962"/>
    <w:rsid w:val="0032607A"/>
    <w:rsid w:val="00332543"/>
    <w:rsid w:val="0033284F"/>
    <w:rsid w:val="00332AB6"/>
    <w:rsid w:val="00336AFD"/>
    <w:rsid w:val="003455D0"/>
    <w:rsid w:val="0035263A"/>
    <w:rsid w:val="00353219"/>
    <w:rsid w:val="003535D6"/>
    <w:rsid w:val="003612CD"/>
    <w:rsid w:val="00361F23"/>
    <w:rsid w:val="003721F1"/>
    <w:rsid w:val="0037233D"/>
    <w:rsid w:val="00380DB3"/>
    <w:rsid w:val="00381AEC"/>
    <w:rsid w:val="00385CFE"/>
    <w:rsid w:val="003904B0"/>
    <w:rsid w:val="00391F2B"/>
    <w:rsid w:val="00394EF1"/>
    <w:rsid w:val="00397297"/>
    <w:rsid w:val="0039794F"/>
    <w:rsid w:val="003A27DC"/>
    <w:rsid w:val="003A3B6B"/>
    <w:rsid w:val="003A7C5E"/>
    <w:rsid w:val="003B31C7"/>
    <w:rsid w:val="003D2109"/>
    <w:rsid w:val="003D456A"/>
    <w:rsid w:val="003F060B"/>
    <w:rsid w:val="003F108F"/>
    <w:rsid w:val="003F127A"/>
    <w:rsid w:val="003F1BD1"/>
    <w:rsid w:val="003F1C24"/>
    <w:rsid w:val="003F6DCF"/>
    <w:rsid w:val="004068B1"/>
    <w:rsid w:val="0041286D"/>
    <w:rsid w:val="00420120"/>
    <w:rsid w:val="00420F6A"/>
    <w:rsid w:val="00432CF4"/>
    <w:rsid w:val="00433D27"/>
    <w:rsid w:val="0043625C"/>
    <w:rsid w:val="00436AEA"/>
    <w:rsid w:val="00440019"/>
    <w:rsid w:val="00446188"/>
    <w:rsid w:val="00446752"/>
    <w:rsid w:val="00447F34"/>
    <w:rsid w:val="00453B73"/>
    <w:rsid w:val="00456F6B"/>
    <w:rsid w:val="0046408C"/>
    <w:rsid w:val="00464165"/>
    <w:rsid w:val="00472A3C"/>
    <w:rsid w:val="00480FE7"/>
    <w:rsid w:val="00481174"/>
    <w:rsid w:val="004A2B2D"/>
    <w:rsid w:val="004B0537"/>
    <w:rsid w:val="004B3219"/>
    <w:rsid w:val="004C1812"/>
    <w:rsid w:val="004C5E42"/>
    <w:rsid w:val="004D0EB7"/>
    <w:rsid w:val="004D1BF2"/>
    <w:rsid w:val="004D306E"/>
    <w:rsid w:val="004D66BC"/>
    <w:rsid w:val="004E4CA0"/>
    <w:rsid w:val="004E7C56"/>
    <w:rsid w:val="004F3363"/>
    <w:rsid w:val="004F3FD5"/>
    <w:rsid w:val="00501AFB"/>
    <w:rsid w:val="00502545"/>
    <w:rsid w:val="00504B53"/>
    <w:rsid w:val="00504DB2"/>
    <w:rsid w:val="00507B2A"/>
    <w:rsid w:val="00510C74"/>
    <w:rsid w:val="00511BC9"/>
    <w:rsid w:val="00512F24"/>
    <w:rsid w:val="00513E84"/>
    <w:rsid w:val="0051421F"/>
    <w:rsid w:val="00514A19"/>
    <w:rsid w:val="00520718"/>
    <w:rsid w:val="005271A8"/>
    <w:rsid w:val="005344C0"/>
    <w:rsid w:val="00540A52"/>
    <w:rsid w:val="0055227E"/>
    <w:rsid w:val="00565D09"/>
    <w:rsid w:val="00586EA3"/>
    <w:rsid w:val="005902F2"/>
    <w:rsid w:val="00593AF3"/>
    <w:rsid w:val="005948F6"/>
    <w:rsid w:val="00594D50"/>
    <w:rsid w:val="005A3282"/>
    <w:rsid w:val="005A4577"/>
    <w:rsid w:val="005A5464"/>
    <w:rsid w:val="005A5922"/>
    <w:rsid w:val="005A6865"/>
    <w:rsid w:val="005B1177"/>
    <w:rsid w:val="005B3D4D"/>
    <w:rsid w:val="005C2DE4"/>
    <w:rsid w:val="005D152A"/>
    <w:rsid w:val="005E0A93"/>
    <w:rsid w:val="005E70A6"/>
    <w:rsid w:val="005F6C7A"/>
    <w:rsid w:val="00604C48"/>
    <w:rsid w:val="00613D3C"/>
    <w:rsid w:val="006150A2"/>
    <w:rsid w:val="00617E9C"/>
    <w:rsid w:val="00621548"/>
    <w:rsid w:val="0062552D"/>
    <w:rsid w:val="0062583F"/>
    <w:rsid w:val="00630CE3"/>
    <w:rsid w:val="00634BEE"/>
    <w:rsid w:val="00643CDE"/>
    <w:rsid w:val="00644175"/>
    <w:rsid w:val="006445C5"/>
    <w:rsid w:val="00644791"/>
    <w:rsid w:val="006453A2"/>
    <w:rsid w:val="00664B94"/>
    <w:rsid w:val="00666173"/>
    <w:rsid w:val="00671FE0"/>
    <w:rsid w:val="006735C6"/>
    <w:rsid w:val="00676AF5"/>
    <w:rsid w:val="00676E4C"/>
    <w:rsid w:val="00677F19"/>
    <w:rsid w:val="00690478"/>
    <w:rsid w:val="006904B2"/>
    <w:rsid w:val="00694E8A"/>
    <w:rsid w:val="0069537D"/>
    <w:rsid w:val="00695A73"/>
    <w:rsid w:val="006965D4"/>
    <w:rsid w:val="00696D47"/>
    <w:rsid w:val="006A1828"/>
    <w:rsid w:val="006A76F8"/>
    <w:rsid w:val="006B22B8"/>
    <w:rsid w:val="006B369D"/>
    <w:rsid w:val="006B3EE2"/>
    <w:rsid w:val="006C52BB"/>
    <w:rsid w:val="006C7CF4"/>
    <w:rsid w:val="006D3039"/>
    <w:rsid w:val="006D7CDA"/>
    <w:rsid w:val="006E0097"/>
    <w:rsid w:val="006E1D09"/>
    <w:rsid w:val="006E6C1F"/>
    <w:rsid w:val="006F0804"/>
    <w:rsid w:val="006F0CDC"/>
    <w:rsid w:val="006F1369"/>
    <w:rsid w:val="006F1E14"/>
    <w:rsid w:val="00703161"/>
    <w:rsid w:val="00707D43"/>
    <w:rsid w:val="00711546"/>
    <w:rsid w:val="00716D5A"/>
    <w:rsid w:val="007175FA"/>
    <w:rsid w:val="0072051F"/>
    <w:rsid w:val="00726879"/>
    <w:rsid w:val="00730C5A"/>
    <w:rsid w:val="00732C62"/>
    <w:rsid w:val="00733D92"/>
    <w:rsid w:val="00735696"/>
    <w:rsid w:val="007356E8"/>
    <w:rsid w:val="00736D03"/>
    <w:rsid w:val="00745BA1"/>
    <w:rsid w:val="00750BAF"/>
    <w:rsid w:val="0075102E"/>
    <w:rsid w:val="00752892"/>
    <w:rsid w:val="007574D5"/>
    <w:rsid w:val="00760F6C"/>
    <w:rsid w:val="00773DFE"/>
    <w:rsid w:val="0077408D"/>
    <w:rsid w:val="0077524D"/>
    <w:rsid w:val="00775D2B"/>
    <w:rsid w:val="0078011D"/>
    <w:rsid w:val="00782062"/>
    <w:rsid w:val="007919C3"/>
    <w:rsid w:val="007965EA"/>
    <w:rsid w:val="007973DD"/>
    <w:rsid w:val="007A4CFF"/>
    <w:rsid w:val="007B011A"/>
    <w:rsid w:val="007B55BE"/>
    <w:rsid w:val="007B63C1"/>
    <w:rsid w:val="007C64E3"/>
    <w:rsid w:val="007C7080"/>
    <w:rsid w:val="007D56DD"/>
    <w:rsid w:val="007D5725"/>
    <w:rsid w:val="007D68A6"/>
    <w:rsid w:val="007E14DA"/>
    <w:rsid w:val="007E7B5E"/>
    <w:rsid w:val="007E7FB2"/>
    <w:rsid w:val="007F0EE2"/>
    <w:rsid w:val="007F0F9A"/>
    <w:rsid w:val="007F39F0"/>
    <w:rsid w:val="007F7A7F"/>
    <w:rsid w:val="008018C0"/>
    <w:rsid w:val="00803C3C"/>
    <w:rsid w:val="00805617"/>
    <w:rsid w:val="00813064"/>
    <w:rsid w:val="00820556"/>
    <w:rsid w:val="00822BC8"/>
    <w:rsid w:val="008267C1"/>
    <w:rsid w:val="0083602B"/>
    <w:rsid w:val="00840F24"/>
    <w:rsid w:val="00843B6C"/>
    <w:rsid w:val="0084515C"/>
    <w:rsid w:val="008523CC"/>
    <w:rsid w:val="0085298E"/>
    <w:rsid w:val="008529E6"/>
    <w:rsid w:val="00852AD3"/>
    <w:rsid w:val="00863414"/>
    <w:rsid w:val="00864EFF"/>
    <w:rsid w:val="008667F7"/>
    <w:rsid w:val="00872FB8"/>
    <w:rsid w:val="00882F5E"/>
    <w:rsid w:val="00891585"/>
    <w:rsid w:val="00891885"/>
    <w:rsid w:val="008A05BC"/>
    <w:rsid w:val="008A314F"/>
    <w:rsid w:val="008B33FD"/>
    <w:rsid w:val="008B4761"/>
    <w:rsid w:val="008B496A"/>
    <w:rsid w:val="008B610F"/>
    <w:rsid w:val="008B7959"/>
    <w:rsid w:val="008C3576"/>
    <w:rsid w:val="008C5C58"/>
    <w:rsid w:val="008D05E2"/>
    <w:rsid w:val="008D3B35"/>
    <w:rsid w:val="008D3BF3"/>
    <w:rsid w:val="008E45D0"/>
    <w:rsid w:val="008E6AC1"/>
    <w:rsid w:val="008E7E45"/>
    <w:rsid w:val="008F1D37"/>
    <w:rsid w:val="008F3371"/>
    <w:rsid w:val="008F4483"/>
    <w:rsid w:val="008F6872"/>
    <w:rsid w:val="008F6A08"/>
    <w:rsid w:val="0090605E"/>
    <w:rsid w:val="00906E58"/>
    <w:rsid w:val="009137B4"/>
    <w:rsid w:val="00914D77"/>
    <w:rsid w:val="009169FC"/>
    <w:rsid w:val="009213F0"/>
    <w:rsid w:val="00923B36"/>
    <w:rsid w:val="00923D04"/>
    <w:rsid w:val="009441F9"/>
    <w:rsid w:val="00945734"/>
    <w:rsid w:val="00945B6A"/>
    <w:rsid w:val="009464BE"/>
    <w:rsid w:val="00947257"/>
    <w:rsid w:val="0094728C"/>
    <w:rsid w:val="00954610"/>
    <w:rsid w:val="00960E6D"/>
    <w:rsid w:val="0096126F"/>
    <w:rsid w:val="00962BA3"/>
    <w:rsid w:val="009630A8"/>
    <w:rsid w:val="00966130"/>
    <w:rsid w:val="00966ACA"/>
    <w:rsid w:val="0097104F"/>
    <w:rsid w:val="00972DB7"/>
    <w:rsid w:val="00981229"/>
    <w:rsid w:val="00983C3C"/>
    <w:rsid w:val="00985D32"/>
    <w:rsid w:val="00995B56"/>
    <w:rsid w:val="009A11C4"/>
    <w:rsid w:val="009A1AE3"/>
    <w:rsid w:val="009A34EA"/>
    <w:rsid w:val="009A5070"/>
    <w:rsid w:val="009C06AA"/>
    <w:rsid w:val="009C0C50"/>
    <w:rsid w:val="009C1032"/>
    <w:rsid w:val="009C1953"/>
    <w:rsid w:val="009C2213"/>
    <w:rsid w:val="009C7044"/>
    <w:rsid w:val="009D2415"/>
    <w:rsid w:val="009D2D3C"/>
    <w:rsid w:val="009D4116"/>
    <w:rsid w:val="009E1FD9"/>
    <w:rsid w:val="009E2B39"/>
    <w:rsid w:val="009E3B91"/>
    <w:rsid w:val="009E4075"/>
    <w:rsid w:val="009E419A"/>
    <w:rsid w:val="009F109E"/>
    <w:rsid w:val="009F2766"/>
    <w:rsid w:val="009F458A"/>
    <w:rsid w:val="00A01B94"/>
    <w:rsid w:val="00A13963"/>
    <w:rsid w:val="00A15285"/>
    <w:rsid w:val="00A177D7"/>
    <w:rsid w:val="00A34833"/>
    <w:rsid w:val="00A35E55"/>
    <w:rsid w:val="00A40920"/>
    <w:rsid w:val="00A452DC"/>
    <w:rsid w:val="00A51DA5"/>
    <w:rsid w:val="00A55D73"/>
    <w:rsid w:val="00A5656A"/>
    <w:rsid w:val="00A57935"/>
    <w:rsid w:val="00A65FD4"/>
    <w:rsid w:val="00A7670A"/>
    <w:rsid w:val="00A80176"/>
    <w:rsid w:val="00A817AF"/>
    <w:rsid w:val="00A942E0"/>
    <w:rsid w:val="00A9710B"/>
    <w:rsid w:val="00AA2ECD"/>
    <w:rsid w:val="00AB017A"/>
    <w:rsid w:val="00AB24FC"/>
    <w:rsid w:val="00AB2BAE"/>
    <w:rsid w:val="00AB3987"/>
    <w:rsid w:val="00AB40F6"/>
    <w:rsid w:val="00AB58FF"/>
    <w:rsid w:val="00AC20FB"/>
    <w:rsid w:val="00AC29EB"/>
    <w:rsid w:val="00AD01AE"/>
    <w:rsid w:val="00AD3B84"/>
    <w:rsid w:val="00AD3DD8"/>
    <w:rsid w:val="00AD442B"/>
    <w:rsid w:val="00AE0CFB"/>
    <w:rsid w:val="00AE1A09"/>
    <w:rsid w:val="00AE1DCF"/>
    <w:rsid w:val="00AE68CF"/>
    <w:rsid w:val="00AE7C59"/>
    <w:rsid w:val="00AF0999"/>
    <w:rsid w:val="00B021EB"/>
    <w:rsid w:val="00B06863"/>
    <w:rsid w:val="00B10F7C"/>
    <w:rsid w:val="00B1174B"/>
    <w:rsid w:val="00B11A7A"/>
    <w:rsid w:val="00B1373A"/>
    <w:rsid w:val="00B150A3"/>
    <w:rsid w:val="00B21D83"/>
    <w:rsid w:val="00B21FAA"/>
    <w:rsid w:val="00B23F6F"/>
    <w:rsid w:val="00B24699"/>
    <w:rsid w:val="00B26A30"/>
    <w:rsid w:val="00B27D6F"/>
    <w:rsid w:val="00B31D47"/>
    <w:rsid w:val="00B33764"/>
    <w:rsid w:val="00B33854"/>
    <w:rsid w:val="00B35ED1"/>
    <w:rsid w:val="00B40953"/>
    <w:rsid w:val="00B4282C"/>
    <w:rsid w:val="00B468BB"/>
    <w:rsid w:val="00B553E8"/>
    <w:rsid w:val="00B6330A"/>
    <w:rsid w:val="00B6449D"/>
    <w:rsid w:val="00B70794"/>
    <w:rsid w:val="00B71640"/>
    <w:rsid w:val="00B75B26"/>
    <w:rsid w:val="00B77D4A"/>
    <w:rsid w:val="00B80D65"/>
    <w:rsid w:val="00B86933"/>
    <w:rsid w:val="00B902F0"/>
    <w:rsid w:val="00B924BA"/>
    <w:rsid w:val="00B92987"/>
    <w:rsid w:val="00B94442"/>
    <w:rsid w:val="00BA413B"/>
    <w:rsid w:val="00BB2AD1"/>
    <w:rsid w:val="00BB3668"/>
    <w:rsid w:val="00BB3FC1"/>
    <w:rsid w:val="00BB508C"/>
    <w:rsid w:val="00BB5585"/>
    <w:rsid w:val="00BC004F"/>
    <w:rsid w:val="00BC2E6C"/>
    <w:rsid w:val="00BC7103"/>
    <w:rsid w:val="00BD1667"/>
    <w:rsid w:val="00BD2938"/>
    <w:rsid w:val="00BD4CE7"/>
    <w:rsid w:val="00BE2314"/>
    <w:rsid w:val="00BE4D88"/>
    <w:rsid w:val="00BF645F"/>
    <w:rsid w:val="00C01B3F"/>
    <w:rsid w:val="00C053F7"/>
    <w:rsid w:val="00C13415"/>
    <w:rsid w:val="00C1377F"/>
    <w:rsid w:val="00C14120"/>
    <w:rsid w:val="00C16911"/>
    <w:rsid w:val="00C17895"/>
    <w:rsid w:val="00C26F77"/>
    <w:rsid w:val="00C31472"/>
    <w:rsid w:val="00C35E5D"/>
    <w:rsid w:val="00C40BA5"/>
    <w:rsid w:val="00C41858"/>
    <w:rsid w:val="00C41A30"/>
    <w:rsid w:val="00C52AC6"/>
    <w:rsid w:val="00C57D9C"/>
    <w:rsid w:val="00C57E47"/>
    <w:rsid w:val="00C6434D"/>
    <w:rsid w:val="00C65851"/>
    <w:rsid w:val="00C662EE"/>
    <w:rsid w:val="00C67D8D"/>
    <w:rsid w:val="00C70A18"/>
    <w:rsid w:val="00C71786"/>
    <w:rsid w:val="00C726E7"/>
    <w:rsid w:val="00C748C4"/>
    <w:rsid w:val="00C76A6A"/>
    <w:rsid w:val="00C77D3D"/>
    <w:rsid w:val="00C83FDE"/>
    <w:rsid w:val="00C86973"/>
    <w:rsid w:val="00C9767F"/>
    <w:rsid w:val="00CA7784"/>
    <w:rsid w:val="00CB0978"/>
    <w:rsid w:val="00CB2F5A"/>
    <w:rsid w:val="00CB4184"/>
    <w:rsid w:val="00CB561B"/>
    <w:rsid w:val="00CB70B7"/>
    <w:rsid w:val="00CB7668"/>
    <w:rsid w:val="00CB7687"/>
    <w:rsid w:val="00CC59F8"/>
    <w:rsid w:val="00CD094F"/>
    <w:rsid w:val="00CD14B6"/>
    <w:rsid w:val="00CD31C9"/>
    <w:rsid w:val="00CD582F"/>
    <w:rsid w:val="00CD6A30"/>
    <w:rsid w:val="00CE6487"/>
    <w:rsid w:val="00CE6E11"/>
    <w:rsid w:val="00CF4B91"/>
    <w:rsid w:val="00CF653E"/>
    <w:rsid w:val="00CF6B20"/>
    <w:rsid w:val="00CF7778"/>
    <w:rsid w:val="00D01E47"/>
    <w:rsid w:val="00D024E1"/>
    <w:rsid w:val="00D046CF"/>
    <w:rsid w:val="00D10282"/>
    <w:rsid w:val="00D11CC9"/>
    <w:rsid w:val="00D1208D"/>
    <w:rsid w:val="00D139C7"/>
    <w:rsid w:val="00D16DEE"/>
    <w:rsid w:val="00D17FA0"/>
    <w:rsid w:val="00D228F7"/>
    <w:rsid w:val="00D24866"/>
    <w:rsid w:val="00D255DA"/>
    <w:rsid w:val="00D2659A"/>
    <w:rsid w:val="00D2672A"/>
    <w:rsid w:val="00D330AD"/>
    <w:rsid w:val="00D41015"/>
    <w:rsid w:val="00D42616"/>
    <w:rsid w:val="00D45533"/>
    <w:rsid w:val="00D610A2"/>
    <w:rsid w:val="00D70353"/>
    <w:rsid w:val="00D71C0F"/>
    <w:rsid w:val="00D77E57"/>
    <w:rsid w:val="00D81014"/>
    <w:rsid w:val="00DA0EB2"/>
    <w:rsid w:val="00DA2CEB"/>
    <w:rsid w:val="00DA6C21"/>
    <w:rsid w:val="00DB0C7B"/>
    <w:rsid w:val="00DB40ED"/>
    <w:rsid w:val="00DB6FC4"/>
    <w:rsid w:val="00DB7942"/>
    <w:rsid w:val="00DC6E24"/>
    <w:rsid w:val="00DC7A13"/>
    <w:rsid w:val="00DD5E76"/>
    <w:rsid w:val="00DE2E79"/>
    <w:rsid w:val="00DE40DB"/>
    <w:rsid w:val="00DE5B90"/>
    <w:rsid w:val="00DE65A9"/>
    <w:rsid w:val="00DE6BA5"/>
    <w:rsid w:val="00DF1F0A"/>
    <w:rsid w:val="00DF3CB7"/>
    <w:rsid w:val="00DF60CE"/>
    <w:rsid w:val="00E00165"/>
    <w:rsid w:val="00E01546"/>
    <w:rsid w:val="00E017F9"/>
    <w:rsid w:val="00E05751"/>
    <w:rsid w:val="00E14313"/>
    <w:rsid w:val="00E15448"/>
    <w:rsid w:val="00E22203"/>
    <w:rsid w:val="00E27618"/>
    <w:rsid w:val="00E35297"/>
    <w:rsid w:val="00E4182F"/>
    <w:rsid w:val="00E514B1"/>
    <w:rsid w:val="00E53CE8"/>
    <w:rsid w:val="00E550EB"/>
    <w:rsid w:val="00E61319"/>
    <w:rsid w:val="00E650C4"/>
    <w:rsid w:val="00E7301C"/>
    <w:rsid w:val="00E7401D"/>
    <w:rsid w:val="00E81BAA"/>
    <w:rsid w:val="00E97E5B"/>
    <w:rsid w:val="00EA10A7"/>
    <w:rsid w:val="00EA7418"/>
    <w:rsid w:val="00EB070F"/>
    <w:rsid w:val="00EB084A"/>
    <w:rsid w:val="00EB373D"/>
    <w:rsid w:val="00EB3763"/>
    <w:rsid w:val="00EC5C90"/>
    <w:rsid w:val="00ED0EA1"/>
    <w:rsid w:val="00ED11FD"/>
    <w:rsid w:val="00ED128A"/>
    <w:rsid w:val="00ED2D80"/>
    <w:rsid w:val="00ED4FF7"/>
    <w:rsid w:val="00EE3A3E"/>
    <w:rsid w:val="00EF17FB"/>
    <w:rsid w:val="00EF5AB9"/>
    <w:rsid w:val="00EF6A36"/>
    <w:rsid w:val="00F015BF"/>
    <w:rsid w:val="00F018C5"/>
    <w:rsid w:val="00F01A13"/>
    <w:rsid w:val="00F03F14"/>
    <w:rsid w:val="00F04135"/>
    <w:rsid w:val="00F05392"/>
    <w:rsid w:val="00F05E89"/>
    <w:rsid w:val="00F10E17"/>
    <w:rsid w:val="00F1423C"/>
    <w:rsid w:val="00F20E59"/>
    <w:rsid w:val="00F23260"/>
    <w:rsid w:val="00F24166"/>
    <w:rsid w:val="00F26578"/>
    <w:rsid w:val="00F3167D"/>
    <w:rsid w:val="00F401FA"/>
    <w:rsid w:val="00F50024"/>
    <w:rsid w:val="00F51D35"/>
    <w:rsid w:val="00F63466"/>
    <w:rsid w:val="00F74099"/>
    <w:rsid w:val="00F76789"/>
    <w:rsid w:val="00F82484"/>
    <w:rsid w:val="00F932EA"/>
    <w:rsid w:val="00FA19E8"/>
    <w:rsid w:val="00FA328F"/>
    <w:rsid w:val="00FA37DD"/>
    <w:rsid w:val="00FA6DE2"/>
    <w:rsid w:val="00FA76E9"/>
    <w:rsid w:val="00FB54CB"/>
    <w:rsid w:val="00FC19B3"/>
    <w:rsid w:val="00FC3E7E"/>
    <w:rsid w:val="00FD1FB8"/>
    <w:rsid w:val="00FD414D"/>
    <w:rsid w:val="00FD7D8C"/>
    <w:rsid w:val="00FE1326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B3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5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0A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4B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B3EE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70A1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C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521F"/>
  </w:style>
  <w:style w:type="paragraph" w:styleId="ac">
    <w:name w:val="footer"/>
    <w:basedOn w:val="a"/>
    <w:link w:val="ad"/>
    <w:uiPriority w:val="99"/>
    <w:semiHidden/>
    <w:unhideWhenUsed/>
    <w:rsid w:val="002C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521F"/>
  </w:style>
  <w:style w:type="character" w:customStyle="1" w:styleId="2">
    <w:name w:val="Основной текст (2)_"/>
    <w:basedOn w:val="a0"/>
    <w:link w:val="20"/>
    <w:rsid w:val="00826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82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8267C1"/>
    <w:pPr>
      <w:widowControl w:val="0"/>
      <w:shd w:val="clear" w:color="auto" w:fill="FFFFFF"/>
      <w:spacing w:after="0" w:line="216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pt">
    <w:name w:val="Основной текст (2) + 8 pt"/>
    <w:basedOn w:val="2"/>
    <w:rsid w:val="00A579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C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5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0A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4B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857C-3631-46DD-AB10-BAFEBF7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7414</TotalTime>
  <Pages>1</Pages>
  <Words>7212</Words>
  <Characters>41110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Пользователь</cp:lastModifiedBy>
  <cp:revision>90</cp:revision>
  <cp:lastPrinted>2023-05-12T05:00:00Z</cp:lastPrinted>
  <dcterms:created xsi:type="dcterms:W3CDTF">2020-01-23T16:31:00Z</dcterms:created>
  <dcterms:modified xsi:type="dcterms:W3CDTF">2023-05-12T05:26:00Z</dcterms:modified>
</cp:coreProperties>
</file>